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169A" w14:textId="5CCE672E" w:rsidR="0077696F" w:rsidRDefault="00D85AC0" w:rsidP="003A635D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705F7BC" wp14:editId="2051A054">
            <wp:extent cx="2950000" cy="739026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5576" cy="75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BB5">
        <w:rPr>
          <w:b/>
          <w:bCs/>
        </w:rPr>
        <w:t xml:space="preserve">            </w:t>
      </w:r>
      <w:r w:rsidR="005A5BEB">
        <w:rPr>
          <w:noProof/>
        </w:rPr>
        <w:drawing>
          <wp:inline distT="0" distB="0" distL="0" distR="0" wp14:anchorId="1D202633" wp14:editId="50DAA2D6">
            <wp:extent cx="2641600" cy="84115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1049" cy="8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909">
        <w:rPr>
          <w:b/>
          <w:bCs/>
        </w:rPr>
        <w:tab/>
      </w:r>
      <w:r w:rsidR="00673909">
        <w:rPr>
          <w:b/>
          <w:bCs/>
        </w:rPr>
        <w:tab/>
      </w:r>
      <w:r w:rsidR="00673909">
        <w:rPr>
          <w:b/>
          <w:bCs/>
        </w:rPr>
        <w:tab/>
      </w:r>
      <w:r w:rsidR="00673909">
        <w:rPr>
          <w:b/>
          <w:bCs/>
        </w:rPr>
        <w:tab/>
      </w:r>
    </w:p>
    <w:p w14:paraId="38092833" w14:textId="77777777" w:rsidR="0077696F" w:rsidRDefault="0077696F">
      <w:pPr>
        <w:rPr>
          <w:b/>
          <w:bCs/>
        </w:rPr>
      </w:pPr>
    </w:p>
    <w:p w14:paraId="03995933" w14:textId="0D4DDF0D" w:rsidR="00BF69C1" w:rsidRPr="00A361FE" w:rsidRDefault="00FD4FCF">
      <w:p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>Crinetics Pharmaceuticals</w:t>
      </w:r>
      <w:r w:rsidR="00366908" w:rsidRPr="00A361FE">
        <w:rPr>
          <w:b/>
          <w:bCs/>
          <w:sz w:val="24"/>
          <w:szCs w:val="24"/>
        </w:rPr>
        <w:t>/</w:t>
      </w:r>
      <w:r w:rsidR="00921E52" w:rsidRPr="00A361FE">
        <w:rPr>
          <w:b/>
          <w:bCs/>
          <w:sz w:val="24"/>
          <w:szCs w:val="24"/>
        </w:rPr>
        <w:t>Albany College of Pharmacy</w:t>
      </w:r>
      <w:r w:rsidR="00366908" w:rsidRPr="00A361FE">
        <w:rPr>
          <w:b/>
          <w:bCs/>
          <w:sz w:val="24"/>
          <w:szCs w:val="24"/>
        </w:rPr>
        <w:t xml:space="preserve"> </w:t>
      </w:r>
      <w:r w:rsidR="007A7527" w:rsidRPr="00A361FE">
        <w:rPr>
          <w:b/>
          <w:bCs/>
          <w:sz w:val="24"/>
          <w:szCs w:val="24"/>
        </w:rPr>
        <w:t>Clinical Pharmacology</w:t>
      </w:r>
      <w:r w:rsidR="00982638" w:rsidRPr="00A361FE">
        <w:rPr>
          <w:b/>
          <w:bCs/>
          <w:sz w:val="24"/>
          <w:szCs w:val="24"/>
        </w:rPr>
        <w:t xml:space="preserve"> </w:t>
      </w:r>
      <w:r w:rsidR="00C71C6C" w:rsidRPr="00A361FE">
        <w:rPr>
          <w:b/>
          <w:bCs/>
          <w:sz w:val="24"/>
          <w:szCs w:val="24"/>
        </w:rPr>
        <w:t>Fellowship</w:t>
      </w:r>
    </w:p>
    <w:p w14:paraId="316E57B2" w14:textId="72EA9BE9" w:rsidR="00257F48" w:rsidRPr="00A361FE" w:rsidRDefault="00257F48">
      <w:pPr>
        <w:rPr>
          <w:sz w:val="24"/>
          <w:szCs w:val="24"/>
        </w:rPr>
      </w:pPr>
      <w:r w:rsidRPr="00A361FE">
        <w:rPr>
          <w:sz w:val="24"/>
          <w:szCs w:val="24"/>
        </w:rPr>
        <w:t xml:space="preserve">Recruiting for one (1) position – </w:t>
      </w:r>
      <w:r w:rsidRPr="00A361FE">
        <w:rPr>
          <w:b/>
          <w:bCs/>
          <w:sz w:val="24"/>
          <w:szCs w:val="24"/>
        </w:rPr>
        <w:t xml:space="preserve">Strong Preference for Hybrid Position </w:t>
      </w:r>
      <w:r w:rsidRPr="00A361FE">
        <w:rPr>
          <w:sz w:val="24"/>
          <w:szCs w:val="24"/>
        </w:rPr>
        <w:t xml:space="preserve">in </w:t>
      </w:r>
      <w:r w:rsidR="00A81850" w:rsidRPr="00A361FE">
        <w:rPr>
          <w:sz w:val="24"/>
          <w:szCs w:val="24"/>
        </w:rPr>
        <w:t>San Diego</w:t>
      </w:r>
      <w:r w:rsidRPr="00A361FE">
        <w:rPr>
          <w:sz w:val="24"/>
          <w:szCs w:val="24"/>
        </w:rPr>
        <w:t>, CA headquarters, but open to Remote requests.</w:t>
      </w:r>
      <w:r w:rsidR="001B0CBD">
        <w:rPr>
          <w:sz w:val="24"/>
          <w:szCs w:val="24"/>
        </w:rPr>
        <w:t xml:space="preserve"> </w:t>
      </w:r>
      <w:r w:rsidR="00410DE4">
        <w:rPr>
          <w:sz w:val="24"/>
          <w:szCs w:val="24"/>
        </w:rPr>
        <w:t>Fellowship start date is July 1, 2023.</w:t>
      </w:r>
    </w:p>
    <w:p w14:paraId="00FD6385" w14:textId="13DF96EC" w:rsidR="00C71C6C" w:rsidRPr="00A361FE" w:rsidRDefault="00C71C6C">
      <w:pPr>
        <w:rPr>
          <w:b/>
          <w:bCs/>
          <w:sz w:val="24"/>
          <w:szCs w:val="24"/>
        </w:rPr>
      </w:pPr>
    </w:p>
    <w:p w14:paraId="03AD98A8" w14:textId="46B134A5" w:rsidR="00C71C6C" w:rsidRPr="00A361FE" w:rsidRDefault="00C71C6C">
      <w:p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 xml:space="preserve">Job Description: </w:t>
      </w:r>
    </w:p>
    <w:p w14:paraId="173D6EDE" w14:textId="6866AC6A" w:rsidR="00D6008A" w:rsidRPr="00A361FE" w:rsidRDefault="00D6008A">
      <w:pPr>
        <w:rPr>
          <w:sz w:val="24"/>
          <w:szCs w:val="24"/>
        </w:rPr>
      </w:pPr>
      <w:r w:rsidRPr="00A361FE">
        <w:rPr>
          <w:sz w:val="24"/>
          <w:szCs w:val="24"/>
        </w:rPr>
        <w:t xml:space="preserve">The </w:t>
      </w:r>
      <w:r w:rsidR="0023020C" w:rsidRPr="00A361FE">
        <w:rPr>
          <w:sz w:val="24"/>
          <w:szCs w:val="24"/>
        </w:rPr>
        <w:t>Clinical Pharmacology</w:t>
      </w:r>
      <w:r w:rsidRPr="00A361FE">
        <w:rPr>
          <w:sz w:val="24"/>
          <w:szCs w:val="24"/>
        </w:rPr>
        <w:t xml:space="preserve"> Fellowship provides two (2) years of comprehensive practical hands-on biopharmaceutical training and fosters an environment of learning within a fast-growing biopharmaceutical company. The fellow will be paired with leaders in the </w:t>
      </w:r>
      <w:r w:rsidR="0023020C" w:rsidRPr="00A361FE">
        <w:rPr>
          <w:sz w:val="24"/>
          <w:szCs w:val="24"/>
        </w:rPr>
        <w:t>Clinical Pharmacology</w:t>
      </w:r>
      <w:r w:rsidRPr="00A361FE">
        <w:rPr>
          <w:sz w:val="24"/>
          <w:szCs w:val="24"/>
        </w:rPr>
        <w:t xml:space="preserve"> functional area and will have the opportunity to </w:t>
      </w:r>
      <w:r w:rsidR="002D1C5B" w:rsidRPr="00A361FE">
        <w:rPr>
          <w:sz w:val="24"/>
          <w:szCs w:val="24"/>
        </w:rPr>
        <w:t xml:space="preserve">gain </w:t>
      </w:r>
      <w:r w:rsidR="0093347B" w:rsidRPr="00A361FE">
        <w:rPr>
          <w:sz w:val="24"/>
          <w:szCs w:val="24"/>
        </w:rPr>
        <w:t xml:space="preserve">direct experiences in </w:t>
      </w:r>
      <w:r w:rsidR="00A438A5" w:rsidRPr="00A361FE">
        <w:rPr>
          <w:sz w:val="24"/>
          <w:szCs w:val="24"/>
        </w:rPr>
        <w:t xml:space="preserve">plans, designs, implements and analyzes routine clinical pharmacology studies to advance scientific </w:t>
      </w:r>
      <w:r w:rsidR="00382AF7" w:rsidRPr="00A361FE">
        <w:rPr>
          <w:sz w:val="24"/>
          <w:szCs w:val="24"/>
        </w:rPr>
        <w:t xml:space="preserve">and practical </w:t>
      </w:r>
      <w:r w:rsidR="00A438A5" w:rsidRPr="00A361FE">
        <w:rPr>
          <w:sz w:val="24"/>
          <w:szCs w:val="24"/>
        </w:rPr>
        <w:t>knowledge</w:t>
      </w:r>
      <w:r w:rsidRPr="00A361FE">
        <w:rPr>
          <w:sz w:val="24"/>
          <w:szCs w:val="24"/>
        </w:rPr>
        <w:t xml:space="preserve">, </w:t>
      </w:r>
      <w:r w:rsidR="00DF57DC" w:rsidRPr="00A361FE">
        <w:rPr>
          <w:sz w:val="24"/>
          <w:szCs w:val="24"/>
        </w:rPr>
        <w:t xml:space="preserve">to </w:t>
      </w:r>
      <w:r w:rsidR="00ED768B" w:rsidRPr="00A361FE">
        <w:rPr>
          <w:sz w:val="24"/>
          <w:szCs w:val="24"/>
        </w:rPr>
        <w:t>collaborate c</w:t>
      </w:r>
      <w:r w:rsidR="00290AFD" w:rsidRPr="00A361FE">
        <w:rPr>
          <w:sz w:val="24"/>
          <w:szCs w:val="24"/>
        </w:rPr>
        <w:t xml:space="preserve">ross-functionally </w:t>
      </w:r>
      <w:r w:rsidR="00866245" w:rsidRPr="00A361FE">
        <w:rPr>
          <w:sz w:val="24"/>
          <w:szCs w:val="24"/>
        </w:rPr>
        <w:t>supporting</w:t>
      </w:r>
      <w:r w:rsidRPr="00A361FE">
        <w:rPr>
          <w:sz w:val="24"/>
          <w:szCs w:val="24"/>
        </w:rPr>
        <w:t xml:space="preserve"> various </w:t>
      </w:r>
      <w:r w:rsidR="00290AFD" w:rsidRPr="00A361FE">
        <w:rPr>
          <w:sz w:val="24"/>
          <w:szCs w:val="24"/>
        </w:rPr>
        <w:t>nonclinical and clinical studies</w:t>
      </w:r>
      <w:r w:rsidR="00257F48" w:rsidRPr="00A361FE">
        <w:rPr>
          <w:sz w:val="24"/>
          <w:szCs w:val="24"/>
        </w:rPr>
        <w:t xml:space="preserve">, and </w:t>
      </w:r>
      <w:r w:rsidR="00F4530F" w:rsidRPr="00A361FE">
        <w:rPr>
          <w:sz w:val="24"/>
          <w:szCs w:val="24"/>
        </w:rPr>
        <w:t>gain</w:t>
      </w:r>
      <w:r w:rsidR="003B17BA" w:rsidRPr="00A361FE">
        <w:rPr>
          <w:sz w:val="24"/>
          <w:szCs w:val="24"/>
        </w:rPr>
        <w:t xml:space="preserve"> broad</w:t>
      </w:r>
      <w:r w:rsidR="00F4530F" w:rsidRPr="00A361FE">
        <w:rPr>
          <w:sz w:val="24"/>
          <w:szCs w:val="24"/>
        </w:rPr>
        <w:t xml:space="preserve"> insight </w:t>
      </w:r>
      <w:r w:rsidR="003B17BA" w:rsidRPr="00A361FE">
        <w:rPr>
          <w:sz w:val="24"/>
          <w:szCs w:val="24"/>
        </w:rPr>
        <w:t>on how clinical pharmacology impacts various aspect of drug discovery and development</w:t>
      </w:r>
      <w:r w:rsidR="00257F48" w:rsidRPr="00A361FE">
        <w:rPr>
          <w:sz w:val="24"/>
          <w:szCs w:val="24"/>
        </w:rPr>
        <w:t xml:space="preserve">. The collaborative environment will offer the fellow an enduring network and exposure to all aspects of the drug development process. </w:t>
      </w:r>
    </w:p>
    <w:p w14:paraId="411E5E4C" w14:textId="45144DDE" w:rsidR="00C71C6C" w:rsidRPr="00A361FE" w:rsidRDefault="00C71C6C">
      <w:pPr>
        <w:rPr>
          <w:b/>
          <w:bCs/>
          <w:sz w:val="24"/>
          <w:szCs w:val="24"/>
        </w:rPr>
      </w:pPr>
    </w:p>
    <w:p w14:paraId="36FC29B2" w14:textId="0CCB1948" w:rsidR="00C71C6C" w:rsidRPr="00A361FE" w:rsidRDefault="00C71C6C">
      <w:p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>Learning Objectives:</w:t>
      </w:r>
    </w:p>
    <w:p w14:paraId="12D0CE55" w14:textId="6CE3A679" w:rsidR="004B73F8" w:rsidRPr="00A361FE" w:rsidRDefault="00DA370F" w:rsidP="00C130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61FE">
        <w:rPr>
          <w:sz w:val="24"/>
          <w:szCs w:val="24"/>
        </w:rPr>
        <w:t>E</w:t>
      </w:r>
      <w:r w:rsidR="004B73F8" w:rsidRPr="00A361FE">
        <w:rPr>
          <w:sz w:val="24"/>
          <w:szCs w:val="24"/>
        </w:rPr>
        <w:t>ducational experience in clinical pharmacology study design/protocol development, data collection, and data analysis.</w:t>
      </w:r>
    </w:p>
    <w:p w14:paraId="350C1DD2" w14:textId="242C2C83" w:rsidR="001D479E" w:rsidRPr="00A361FE" w:rsidRDefault="00DA370F" w:rsidP="00C130BD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 w:rsidRPr="00A361FE">
        <w:rPr>
          <w:rFonts w:eastAsia="Times New Roman"/>
          <w:sz w:val="24"/>
          <w:szCs w:val="24"/>
          <w:lang w:eastAsia="en-US"/>
        </w:rPr>
        <w:t>Hands-on experiences in non-compartmental</w:t>
      </w:r>
      <w:r w:rsidR="008F6951" w:rsidRPr="00A361FE">
        <w:rPr>
          <w:rFonts w:eastAsia="Times New Roman"/>
          <w:sz w:val="24"/>
          <w:szCs w:val="24"/>
          <w:lang w:eastAsia="en-US"/>
        </w:rPr>
        <w:t xml:space="preserve"> analy</w:t>
      </w:r>
      <w:r w:rsidRPr="00A361FE">
        <w:rPr>
          <w:rFonts w:eastAsia="Times New Roman"/>
          <w:sz w:val="24"/>
          <w:szCs w:val="24"/>
          <w:lang w:eastAsia="en-US"/>
        </w:rPr>
        <w:t>sis (NCA) of</w:t>
      </w:r>
      <w:r w:rsidR="008F6951" w:rsidRPr="00A361FE">
        <w:rPr>
          <w:rFonts w:eastAsia="Times New Roman"/>
          <w:sz w:val="24"/>
          <w:szCs w:val="24"/>
          <w:lang w:eastAsia="en-US"/>
        </w:rPr>
        <w:t xml:space="preserve"> routine </w:t>
      </w:r>
      <w:r w:rsidRPr="00A361FE">
        <w:rPr>
          <w:rFonts w:eastAsia="Times New Roman"/>
          <w:sz w:val="24"/>
          <w:szCs w:val="24"/>
          <w:lang w:eastAsia="en-US"/>
        </w:rPr>
        <w:t xml:space="preserve">nonclinical and </w:t>
      </w:r>
      <w:r w:rsidR="00324953" w:rsidRPr="00A361FE">
        <w:rPr>
          <w:rFonts w:eastAsia="Times New Roman"/>
          <w:sz w:val="24"/>
          <w:szCs w:val="24"/>
          <w:lang w:eastAsia="en-US"/>
        </w:rPr>
        <w:t>clinical</w:t>
      </w:r>
      <w:r w:rsidR="008F6951" w:rsidRPr="00A361FE">
        <w:rPr>
          <w:rFonts w:eastAsia="Times New Roman"/>
          <w:sz w:val="24"/>
          <w:szCs w:val="24"/>
          <w:lang w:eastAsia="en-US"/>
        </w:rPr>
        <w:t xml:space="preserve"> studies to advance scientific knowledge, in collaboration with other team members.</w:t>
      </w:r>
    </w:p>
    <w:p w14:paraId="4CC2C311" w14:textId="73D68D3A" w:rsidR="00324953" w:rsidRPr="00A361FE" w:rsidRDefault="001D479E" w:rsidP="00C130BD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 w:rsidRPr="00A361FE">
        <w:rPr>
          <w:rFonts w:eastAsia="Times New Roman"/>
          <w:sz w:val="24"/>
          <w:szCs w:val="24"/>
          <w:lang w:eastAsia="en-US"/>
        </w:rPr>
        <w:t xml:space="preserve">With </w:t>
      </w:r>
      <w:r w:rsidR="00EB1E0A" w:rsidRPr="00A361FE">
        <w:rPr>
          <w:rFonts w:eastAsia="Times New Roman"/>
          <w:sz w:val="24"/>
          <w:szCs w:val="24"/>
          <w:lang w:eastAsia="en-US"/>
        </w:rPr>
        <w:t xml:space="preserve">guidance and </w:t>
      </w:r>
      <w:r w:rsidRPr="00A361FE">
        <w:rPr>
          <w:rFonts w:eastAsia="Times New Roman"/>
          <w:sz w:val="24"/>
          <w:szCs w:val="24"/>
          <w:lang w:eastAsia="en-US"/>
        </w:rPr>
        <w:t xml:space="preserve">supervision from senior clinical pharmacology staff, draft </w:t>
      </w:r>
      <w:r w:rsidR="00671462" w:rsidRPr="00A361FE">
        <w:rPr>
          <w:rFonts w:eastAsia="Times New Roman"/>
          <w:sz w:val="24"/>
          <w:szCs w:val="24"/>
          <w:lang w:eastAsia="en-US"/>
        </w:rPr>
        <w:t>and review study related documents or applicable sections</w:t>
      </w:r>
      <w:r w:rsidR="00B86827" w:rsidRPr="00A361FE">
        <w:rPr>
          <w:rFonts w:eastAsia="Times New Roman"/>
          <w:sz w:val="24"/>
          <w:szCs w:val="24"/>
          <w:lang w:eastAsia="en-US"/>
        </w:rPr>
        <w:t xml:space="preserve"> pertinent to clinical pharmacology</w:t>
      </w:r>
      <w:r w:rsidR="00671462" w:rsidRPr="00A361FE">
        <w:rPr>
          <w:rFonts w:eastAsia="Times New Roman"/>
          <w:sz w:val="24"/>
          <w:szCs w:val="24"/>
          <w:lang w:eastAsia="en-US"/>
        </w:rPr>
        <w:t xml:space="preserve">, </w:t>
      </w:r>
      <w:r w:rsidR="00A361FE" w:rsidRPr="00A361FE">
        <w:rPr>
          <w:rFonts w:eastAsia="Times New Roman"/>
          <w:sz w:val="24"/>
          <w:szCs w:val="24"/>
          <w:lang w:eastAsia="en-US"/>
        </w:rPr>
        <w:t>e.g.,</w:t>
      </w:r>
      <w:r w:rsidR="00671462" w:rsidRPr="00A361FE">
        <w:rPr>
          <w:rFonts w:eastAsia="Times New Roman"/>
          <w:sz w:val="24"/>
          <w:szCs w:val="24"/>
          <w:lang w:eastAsia="en-US"/>
        </w:rPr>
        <w:t xml:space="preserve"> synopsis, protocol, PK/TK reports, SAP, TFLs, and CSR, etc</w:t>
      </w:r>
      <w:r w:rsidR="00324953" w:rsidRPr="00A361FE">
        <w:rPr>
          <w:rFonts w:eastAsia="Times New Roman"/>
          <w:sz w:val="24"/>
          <w:szCs w:val="24"/>
          <w:lang w:eastAsia="en-US"/>
        </w:rPr>
        <w:t>.</w:t>
      </w:r>
    </w:p>
    <w:p w14:paraId="66C2499A" w14:textId="297A0F1B" w:rsidR="00324953" w:rsidRPr="00A361FE" w:rsidRDefault="00324953" w:rsidP="00C130BD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 w:rsidRPr="00A361FE">
        <w:rPr>
          <w:rFonts w:eastAsia="Times New Roman"/>
          <w:sz w:val="24"/>
          <w:szCs w:val="24"/>
          <w:lang w:eastAsia="en-US"/>
        </w:rPr>
        <w:t xml:space="preserve">With </w:t>
      </w:r>
      <w:r w:rsidR="00EB1E0A" w:rsidRPr="00A361FE">
        <w:rPr>
          <w:rFonts w:eastAsia="Times New Roman"/>
          <w:sz w:val="24"/>
          <w:szCs w:val="24"/>
          <w:lang w:eastAsia="en-US"/>
        </w:rPr>
        <w:t>guidance and</w:t>
      </w:r>
      <w:r w:rsidRPr="00A361FE">
        <w:rPr>
          <w:rFonts w:eastAsia="Times New Roman"/>
          <w:sz w:val="24"/>
          <w:szCs w:val="24"/>
          <w:lang w:eastAsia="en-US"/>
        </w:rPr>
        <w:t xml:space="preserve"> supervision from senior </w:t>
      </w:r>
      <w:r w:rsidR="00E35266" w:rsidRPr="00A361FE">
        <w:rPr>
          <w:rFonts w:eastAsia="Times New Roman"/>
          <w:sz w:val="24"/>
          <w:szCs w:val="24"/>
          <w:lang w:eastAsia="en-US"/>
        </w:rPr>
        <w:t>clinical pharmacology</w:t>
      </w:r>
      <w:r w:rsidRPr="00A361FE">
        <w:rPr>
          <w:rFonts w:eastAsia="Times New Roman"/>
          <w:sz w:val="24"/>
          <w:szCs w:val="24"/>
          <w:lang w:eastAsia="en-US"/>
        </w:rPr>
        <w:t xml:space="preserve"> staff, supports preparation of material </w:t>
      </w:r>
      <w:r w:rsidR="00B96AF5" w:rsidRPr="00A361FE">
        <w:rPr>
          <w:rFonts w:eastAsia="Times New Roman"/>
          <w:sz w:val="24"/>
          <w:szCs w:val="24"/>
          <w:lang w:eastAsia="en-US"/>
        </w:rPr>
        <w:t>and p</w:t>
      </w:r>
      <w:r w:rsidRPr="00A361FE">
        <w:rPr>
          <w:rFonts w:eastAsia="Times New Roman"/>
          <w:sz w:val="24"/>
          <w:szCs w:val="24"/>
          <w:lang w:eastAsia="en-US"/>
        </w:rPr>
        <w:t>erforms additional analyses as required to support regulatory interactions.</w:t>
      </w:r>
    </w:p>
    <w:p w14:paraId="468E7E66" w14:textId="0F7DD57C" w:rsidR="00324953" w:rsidRPr="00A361FE" w:rsidRDefault="006E361F" w:rsidP="00C130BD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 w:rsidRPr="00A361FE">
        <w:rPr>
          <w:rFonts w:eastAsia="Times New Roman"/>
          <w:sz w:val="24"/>
          <w:szCs w:val="24"/>
          <w:lang w:eastAsia="en-US"/>
        </w:rPr>
        <w:t xml:space="preserve">Participate in literature search and regulatory guidance </w:t>
      </w:r>
      <w:r w:rsidR="00BA0723" w:rsidRPr="00A361FE">
        <w:rPr>
          <w:rFonts w:eastAsia="Times New Roman"/>
          <w:sz w:val="24"/>
          <w:szCs w:val="24"/>
          <w:lang w:eastAsia="en-US"/>
        </w:rPr>
        <w:t xml:space="preserve">and </w:t>
      </w:r>
      <w:r w:rsidR="00034BF4" w:rsidRPr="00A361FE">
        <w:rPr>
          <w:rFonts w:eastAsia="Times New Roman"/>
          <w:sz w:val="24"/>
          <w:szCs w:val="24"/>
          <w:lang w:eastAsia="en-US"/>
        </w:rPr>
        <w:t xml:space="preserve">review to support clinical pharmacology study design and </w:t>
      </w:r>
      <w:r w:rsidR="00BB32EA" w:rsidRPr="00A361FE">
        <w:rPr>
          <w:rFonts w:eastAsia="Times New Roman"/>
          <w:sz w:val="24"/>
          <w:szCs w:val="24"/>
          <w:lang w:eastAsia="en-US"/>
        </w:rPr>
        <w:t>data analysis.</w:t>
      </w:r>
    </w:p>
    <w:p w14:paraId="3AD2C3AE" w14:textId="70E71CA8" w:rsidR="00456CB6" w:rsidRPr="00A361FE" w:rsidRDefault="00456CB6" w:rsidP="00C130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61FE">
        <w:rPr>
          <w:sz w:val="24"/>
          <w:szCs w:val="24"/>
        </w:rPr>
        <w:t xml:space="preserve">Participate in research </w:t>
      </w:r>
      <w:r w:rsidR="00F502BC" w:rsidRPr="00A361FE">
        <w:rPr>
          <w:sz w:val="24"/>
          <w:szCs w:val="24"/>
        </w:rPr>
        <w:t xml:space="preserve">and development </w:t>
      </w:r>
      <w:r w:rsidRPr="00A361FE">
        <w:rPr>
          <w:sz w:val="24"/>
          <w:szCs w:val="24"/>
        </w:rPr>
        <w:t xml:space="preserve">projects with </w:t>
      </w:r>
      <w:r w:rsidR="00F502BC" w:rsidRPr="00A361FE">
        <w:rPr>
          <w:sz w:val="24"/>
          <w:szCs w:val="24"/>
        </w:rPr>
        <w:t xml:space="preserve">various modeling and simulation </w:t>
      </w:r>
      <w:r w:rsidR="009D03FB" w:rsidRPr="00A361FE">
        <w:rPr>
          <w:sz w:val="24"/>
          <w:szCs w:val="24"/>
        </w:rPr>
        <w:t>techniques and programming software</w:t>
      </w:r>
      <w:r w:rsidRPr="00A361FE">
        <w:rPr>
          <w:sz w:val="24"/>
          <w:szCs w:val="24"/>
        </w:rPr>
        <w:t>.</w:t>
      </w:r>
    </w:p>
    <w:p w14:paraId="6F885629" w14:textId="77777777" w:rsidR="004B73F8" w:rsidRPr="00A361FE" w:rsidRDefault="004B73F8" w:rsidP="00C130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61FE">
        <w:rPr>
          <w:sz w:val="24"/>
          <w:szCs w:val="24"/>
        </w:rPr>
        <w:lastRenderedPageBreak/>
        <w:t>Successfully complete selected workshops and courses in pharmacometrics and related areas, to ensure base knowledge of the field.</w:t>
      </w:r>
    </w:p>
    <w:p w14:paraId="73B7AE07" w14:textId="0FFBD179" w:rsidR="004B73F8" w:rsidRPr="00A361FE" w:rsidRDefault="004B73F8" w:rsidP="00C130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61FE">
        <w:rPr>
          <w:sz w:val="24"/>
          <w:szCs w:val="24"/>
        </w:rPr>
        <w:t xml:space="preserve">Author a minimum of one peer-reviewed poster with preparation </w:t>
      </w:r>
    </w:p>
    <w:p w14:paraId="689C48BD" w14:textId="3FC5AC4C" w:rsidR="004B73F8" w:rsidRPr="00A361FE" w:rsidRDefault="004B73F8" w:rsidP="00C130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61FE">
        <w:rPr>
          <w:sz w:val="24"/>
          <w:szCs w:val="24"/>
        </w:rPr>
        <w:t xml:space="preserve">Made at least one formal presentation to peers at a seminar, workshop or national meeting related to research completed to </w:t>
      </w:r>
      <w:r w:rsidR="00A361FE" w:rsidRPr="00A361FE">
        <w:rPr>
          <w:sz w:val="24"/>
          <w:szCs w:val="24"/>
        </w:rPr>
        <w:t>date.</w:t>
      </w:r>
    </w:p>
    <w:p w14:paraId="74A585AA" w14:textId="77777777" w:rsidR="004B73F8" w:rsidRPr="00A361FE" w:rsidRDefault="004B73F8">
      <w:pPr>
        <w:rPr>
          <w:b/>
          <w:bCs/>
          <w:sz w:val="24"/>
          <w:szCs w:val="24"/>
        </w:rPr>
      </w:pPr>
    </w:p>
    <w:p w14:paraId="136D67F0" w14:textId="5AC9979F" w:rsidR="00D6008A" w:rsidRPr="00A361FE" w:rsidRDefault="00D6008A" w:rsidP="00257F48">
      <w:p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 xml:space="preserve">Application Materials: </w:t>
      </w:r>
    </w:p>
    <w:p w14:paraId="02CAA84D" w14:textId="4BFBF366" w:rsidR="00D6008A" w:rsidRPr="00A361FE" w:rsidRDefault="00D6008A" w:rsidP="00257F48">
      <w:pPr>
        <w:rPr>
          <w:sz w:val="24"/>
          <w:szCs w:val="24"/>
        </w:rPr>
      </w:pPr>
      <w:r w:rsidRPr="00A361FE">
        <w:rPr>
          <w:rFonts w:hint="eastAsia"/>
          <w:sz w:val="24"/>
          <w:szCs w:val="24"/>
        </w:rPr>
        <w:t>C</w:t>
      </w:r>
      <w:r w:rsidRPr="00A361FE">
        <w:rPr>
          <w:sz w:val="24"/>
          <w:szCs w:val="24"/>
        </w:rPr>
        <w:t xml:space="preserve">andidates must submit all the following application materials to </w:t>
      </w:r>
      <w:r w:rsidR="003626C4" w:rsidRPr="00A361FE">
        <w:rPr>
          <w:sz w:val="24"/>
          <w:szCs w:val="24"/>
        </w:rPr>
        <w:t>Albany College of Pharmacy</w:t>
      </w:r>
      <w:r w:rsidR="00DC6CD3" w:rsidRPr="00A361FE">
        <w:rPr>
          <w:sz w:val="24"/>
          <w:szCs w:val="24"/>
        </w:rPr>
        <w:t xml:space="preserve"> </w:t>
      </w:r>
      <w:r w:rsidR="00E34ACA" w:rsidRPr="00A361FE">
        <w:rPr>
          <w:sz w:val="24"/>
          <w:szCs w:val="24"/>
        </w:rPr>
        <w:t xml:space="preserve">and Health Sciences to  </w:t>
      </w:r>
      <w:hyperlink r:id="rId9" w:history="1">
        <w:r w:rsidR="00E34ACA" w:rsidRPr="00A361FE">
          <w:rPr>
            <w:rStyle w:val="Hyperlink"/>
            <w:sz w:val="24"/>
            <w:szCs w:val="24"/>
          </w:rPr>
          <w:t>Darren.grabe@acphs.edu</w:t>
        </w:r>
      </w:hyperlink>
      <w:r w:rsidR="00E34ACA" w:rsidRPr="00A361FE">
        <w:rPr>
          <w:sz w:val="24"/>
          <w:szCs w:val="24"/>
        </w:rPr>
        <w:t xml:space="preserve"> </w:t>
      </w:r>
      <w:r w:rsidR="00A361FE" w:rsidRPr="00A361FE">
        <w:rPr>
          <w:sz w:val="24"/>
          <w:szCs w:val="24"/>
        </w:rPr>
        <w:t>and Bernard.tyrrell@acphs.edu</w:t>
      </w:r>
      <w:r w:rsidR="00E34ACA" w:rsidRPr="00A361FE">
        <w:rPr>
          <w:sz w:val="24"/>
          <w:szCs w:val="24"/>
        </w:rPr>
        <w:t>.</w:t>
      </w:r>
    </w:p>
    <w:p w14:paraId="71AC0F99" w14:textId="5775D644" w:rsidR="00D6008A" w:rsidRPr="00A361FE" w:rsidRDefault="00D6008A" w:rsidP="00D60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61FE">
        <w:rPr>
          <w:sz w:val="24"/>
          <w:szCs w:val="24"/>
        </w:rPr>
        <w:t xml:space="preserve">Letter of Intent </w:t>
      </w:r>
    </w:p>
    <w:p w14:paraId="0E5A0F55" w14:textId="5A1A3D47" w:rsidR="00D6008A" w:rsidRPr="00A361FE" w:rsidRDefault="00D6008A" w:rsidP="00D60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61FE">
        <w:rPr>
          <w:sz w:val="24"/>
          <w:szCs w:val="24"/>
        </w:rPr>
        <w:t>Two (2) letters of recommendation</w:t>
      </w:r>
      <w:r w:rsidR="00A361FE" w:rsidRPr="00A361FE">
        <w:rPr>
          <w:sz w:val="24"/>
          <w:szCs w:val="24"/>
        </w:rPr>
        <w:t xml:space="preserve"> (LOR)</w:t>
      </w:r>
      <w:r w:rsidRPr="00A361FE">
        <w:rPr>
          <w:sz w:val="24"/>
          <w:szCs w:val="24"/>
        </w:rPr>
        <w:t xml:space="preserve"> submitted via email directly from each reference.</w:t>
      </w:r>
    </w:p>
    <w:p w14:paraId="0181A45C" w14:textId="5EA9DDE5" w:rsidR="00D6008A" w:rsidRPr="00A361FE" w:rsidRDefault="00D6008A" w:rsidP="00D60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61FE">
        <w:rPr>
          <w:sz w:val="24"/>
          <w:szCs w:val="24"/>
        </w:rPr>
        <w:t>Curriculum Vitae (CV)</w:t>
      </w:r>
    </w:p>
    <w:p w14:paraId="35B28950" w14:textId="0E1D31A9" w:rsidR="00D6008A" w:rsidRPr="00A361FE" w:rsidRDefault="00D6008A" w:rsidP="00D60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61FE">
        <w:rPr>
          <w:sz w:val="24"/>
          <w:szCs w:val="24"/>
        </w:rPr>
        <w:t>Unofficial pharmacy school transcripts</w:t>
      </w:r>
    </w:p>
    <w:p w14:paraId="1106E88E" w14:textId="453491D3" w:rsidR="00D6008A" w:rsidRPr="00A361FE" w:rsidRDefault="00D6008A" w:rsidP="00D60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61FE">
        <w:rPr>
          <w:sz w:val="24"/>
          <w:szCs w:val="24"/>
        </w:rPr>
        <w:t>**Any additional materials that the candidate feels would be useful to the interview committee may be submitted</w:t>
      </w:r>
    </w:p>
    <w:p w14:paraId="063B16E9" w14:textId="19A4F33E" w:rsidR="00C71C6C" w:rsidRPr="00A361FE" w:rsidRDefault="00C71C6C">
      <w:pPr>
        <w:rPr>
          <w:b/>
          <w:bCs/>
          <w:sz w:val="24"/>
          <w:szCs w:val="24"/>
        </w:rPr>
      </w:pPr>
    </w:p>
    <w:p w14:paraId="7B8256C6" w14:textId="4230ECEA" w:rsidR="00C71C6C" w:rsidRPr="00A361FE" w:rsidRDefault="00C71C6C">
      <w:p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>Deadlines:</w:t>
      </w:r>
    </w:p>
    <w:p w14:paraId="23FAC5D5" w14:textId="4593FA2C" w:rsidR="00A361FE" w:rsidRPr="00A361FE" w:rsidRDefault="00A361FE" w:rsidP="00C71C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>Application Window (Rolling Basis): Monday March 20</w:t>
      </w:r>
      <w:r w:rsidRPr="00A361FE">
        <w:rPr>
          <w:b/>
          <w:bCs/>
          <w:sz w:val="24"/>
          <w:szCs w:val="24"/>
          <w:vertAlign w:val="superscript"/>
        </w:rPr>
        <w:t>th</w:t>
      </w:r>
      <w:r w:rsidRPr="00A361FE">
        <w:rPr>
          <w:b/>
          <w:bCs/>
          <w:sz w:val="24"/>
          <w:szCs w:val="24"/>
        </w:rPr>
        <w:t>, 2023, to Friday April 7</w:t>
      </w:r>
      <w:r w:rsidRPr="00A361FE">
        <w:rPr>
          <w:b/>
          <w:bCs/>
          <w:sz w:val="24"/>
          <w:szCs w:val="24"/>
          <w:vertAlign w:val="superscript"/>
        </w:rPr>
        <w:t>th</w:t>
      </w:r>
      <w:r w:rsidRPr="00A361FE">
        <w:rPr>
          <w:b/>
          <w:bCs/>
          <w:sz w:val="24"/>
          <w:szCs w:val="24"/>
        </w:rPr>
        <w:t>,2023 by 11:59 PM</w:t>
      </w:r>
    </w:p>
    <w:p w14:paraId="5330E16F" w14:textId="78BA7266" w:rsidR="00A361FE" w:rsidRPr="00A361FE" w:rsidRDefault="00A361FE" w:rsidP="00C71C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 xml:space="preserve">Letter of </w:t>
      </w:r>
      <w:r w:rsidR="003658F5">
        <w:rPr>
          <w:b/>
          <w:bCs/>
          <w:sz w:val="24"/>
          <w:szCs w:val="24"/>
        </w:rPr>
        <w:t>I</w:t>
      </w:r>
      <w:r w:rsidRPr="00A361FE">
        <w:rPr>
          <w:b/>
          <w:bCs/>
          <w:sz w:val="24"/>
          <w:szCs w:val="24"/>
        </w:rPr>
        <w:t>ntent (LOI), CV, unofficial pharmacy school transcripts Due: Friday April 7</w:t>
      </w:r>
      <w:r w:rsidRPr="00A361FE">
        <w:rPr>
          <w:b/>
          <w:bCs/>
          <w:sz w:val="24"/>
          <w:szCs w:val="24"/>
          <w:vertAlign w:val="superscript"/>
        </w:rPr>
        <w:t>th</w:t>
      </w:r>
      <w:r w:rsidRPr="00A361FE">
        <w:rPr>
          <w:b/>
          <w:bCs/>
          <w:sz w:val="24"/>
          <w:szCs w:val="24"/>
        </w:rPr>
        <w:t>, 2023, by 11:59 PM</w:t>
      </w:r>
    </w:p>
    <w:p w14:paraId="57D7C1FD" w14:textId="7A704787" w:rsidR="00A361FE" w:rsidRPr="00A361FE" w:rsidRDefault="00A361FE" w:rsidP="00C71C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>2 LORs Due: Monday April 10</w:t>
      </w:r>
      <w:r w:rsidRPr="00A361FE">
        <w:rPr>
          <w:b/>
          <w:bCs/>
          <w:sz w:val="24"/>
          <w:szCs w:val="24"/>
          <w:vertAlign w:val="superscript"/>
        </w:rPr>
        <w:t>th</w:t>
      </w:r>
      <w:r w:rsidRPr="00A361FE">
        <w:rPr>
          <w:b/>
          <w:bCs/>
          <w:sz w:val="24"/>
          <w:szCs w:val="24"/>
        </w:rPr>
        <w:t>, 2023, by 11:59 PM.</w:t>
      </w:r>
    </w:p>
    <w:p w14:paraId="69FD9F80" w14:textId="78A00131" w:rsidR="00C71C6C" w:rsidRPr="00A361FE" w:rsidRDefault="00A361FE" w:rsidP="00C71C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61FE">
        <w:rPr>
          <w:b/>
          <w:bCs/>
          <w:sz w:val="24"/>
          <w:szCs w:val="24"/>
        </w:rPr>
        <w:t xml:space="preserve">Interviews will be conducted on a rolling basis upon application receipt. Early application submission is highly encouraged. All rounds of interviews will be conducted virtually. </w:t>
      </w:r>
    </w:p>
    <w:p w14:paraId="3B702442" w14:textId="692152CB" w:rsidR="004139F2" w:rsidRPr="00A361FE" w:rsidRDefault="004139F2" w:rsidP="004139F2">
      <w:pPr>
        <w:rPr>
          <w:b/>
          <w:bCs/>
          <w:sz w:val="24"/>
          <w:szCs w:val="24"/>
        </w:rPr>
      </w:pPr>
    </w:p>
    <w:sectPr w:rsidR="004139F2" w:rsidRPr="00A361F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F401" w14:textId="77777777" w:rsidR="00CD0151" w:rsidRDefault="00CD0151" w:rsidP="0077696F">
      <w:pPr>
        <w:spacing w:line="240" w:lineRule="auto"/>
      </w:pPr>
      <w:r>
        <w:separator/>
      </w:r>
    </w:p>
  </w:endnote>
  <w:endnote w:type="continuationSeparator" w:id="0">
    <w:p w14:paraId="1F3BCD04" w14:textId="77777777" w:rsidR="00CD0151" w:rsidRDefault="00CD0151" w:rsidP="0077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ADB6" w14:textId="77777777" w:rsidR="00CD0151" w:rsidRDefault="00CD0151" w:rsidP="0077696F">
      <w:pPr>
        <w:spacing w:line="240" w:lineRule="auto"/>
      </w:pPr>
      <w:r>
        <w:separator/>
      </w:r>
    </w:p>
  </w:footnote>
  <w:footnote w:type="continuationSeparator" w:id="0">
    <w:p w14:paraId="65831D1E" w14:textId="77777777" w:rsidR="00CD0151" w:rsidRDefault="00CD0151" w:rsidP="00776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97"/>
    <w:multiLevelType w:val="hybridMultilevel"/>
    <w:tmpl w:val="1116E5FE"/>
    <w:lvl w:ilvl="0" w:tplc="B81C95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641"/>
    <w:multiLevelType w:val="hybridMultilevel"/>
    <w:tmpl w:val="C59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DD2"/>
    <w:multiLevelType w:val="hybridMultilevel"/>
    <w:tmpl w:val="E612C44E"/>
    <w:lvl w:ilvl="0" w:tplc="565C823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7A78D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4C6650A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2E6A0A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7A251F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21CD62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EAA575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BE01F4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874D23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970D0F"/>
    <w:multiLevelType w:val="hybridMultilevel"/>
    <w:tmpl w:val="4FCE1580"/>
    <w:lvl w:ilvl="0" w:tplc="83BA0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67B2"/>
    <w:multiLevelType w:val="multilevel"/>
    <w:tmpl w:val="C8A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D65BE"/>
    <w:multiLevelType w:val="hybridMultilevel"/>
    <w:tmpl w:val="51B8710E"/>
    <w:lvl w:ilvl="0" w:tplc="42DA19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73C2"/>
    <w:multiLevelType w:val="multilevel"/>
    <w:tmpl w:val="7B0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7CF6"/>
    <w:multiLevelType w:val="multilevel"/>
    <w:tmpl w:val="5F2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866463">
    <w:abstractNumId w:val="3"/>
  </w:num>
  <w:num w:numId="2" w16cid:durableId="314603828">
    <w:abstractNumId w:val="4"/>
  </w:num>
  <w:num w:numId="3" w16cid:durableId="1289896282">
    <w:abstractNumId w:val="5"/>
  </w:num>
  <w:num w:numId="4" w16cid:durableId="958340906">
    <w:abstractNumId w:val="0"/>
  </w:num>
  <w:num w:numId="5" w16cid:durableId="1671711452">
    <w:abstractNumId w:val="2"/>
  </w:num>
  <w:num w:numId="6" w16cid:durableId="1826237636">
    <w:abstractNumId w:val="6"/>
  </w:num>
  <w:num w:numId="7" w16cid:durableId="415513057">
    <w:abstractNumId w:val="7"/>
  </w:num>
  <w:num w:numId="8" w16cid:durableId="77995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zIytjQ3NjYxMjRU0lEKTi0uzszPAykwrAUAT7YgmiwAAAA="/>
  </w:docVars>
  <w:rsids>
    <w:rsidRoot w:val="00BF69C1"/>
    <w:rsid w:val="00034BF4"/>
    <w:rsid w:val="000D0F49"/>
    <w:rsid w:val="000D2437"/>
    <w:rsid w:val="0010721D"/>
    <w:rsid w:val="00147F48"/>
    <w:rsid w:val="00155AC9"/>
    <w:rsid w:val="001B0CBD"/>
    <w:rsid w:val="001D479E"/>
    <w:rsid w:val="001D5011"/>
    <w:rsid w:val="001E2068"/>
    <w:rsid w:val="00225F42"/>
    <w:rsid w:val="0023020C"/>
    <w:rsid w:val="00257F48"/>
    <w:rsid w:val="00262359"/>
    <w:rsid w:val="00290AFD"/>
    <w:rsid w:val="002A70F6"/>
    <w:rsid w:val="002C6122"/>
    <w:rsid w:val="002D1C5B"/>
    <w:rsid w:val="00324953"/>
    <w:rsid w:val="003626C4"/>
    <w:rsid w:val="0036487C"/>
    <w:rsid w:val="003658F5"/>
    <w:rsid w:val="00366908"/>
    <w:rsid w:val="00382AF7"/>
    <w:rsid w:val="00391D39"/>
    <w:rsid w:val="003A14BF"/>
    <w:rsid w:val="003A635D"/>
    <w:rsid w:val="003B17BA"/>
    <w:rsid w:val="003D0EF2"/>
    <w:rsid w:val="003D3202"/>
    <w:rsid w:val="00410DE4"/>
    <w:rsid w:val="004139F2"/>
    <w:rsid w:val="00456CB6"/>
    <w:rsid w:val="00474F41"/>
    <w:rsid w:val="00493364"/>
    <w:rsid w:val="004B73F8"/>
    <w:rsid w:val="005454E6"/>
    <w:rsid w:val="005547EC"/>
    <w:rsid w:val="005630EC"/>
    <w:rsid w:val="00587517"/>
    <w:rsid w:val="005A5BEB"/>
    <w:rsid w:val="005F539E"/>
    <w:rsid w:val="00671462"/>
    <w:rsid w:val="00673909"/>
    <w:rsid w:val="00675ABD"/>
    <w:rsid w:val="006E361F"/>
    <w:rsid w:val="006E6E86"/>
    <w:rsid w:val="00712C1E"/>
    <w:rsid w:val="00731BD8"/>
    <w:rsid w:val="0077696F"/>
    <w:rsid w:val="007A7527"/>
    <w:rsid w:val="00814FE2"/>
    <w:rsid w:val="00836245"/>
    <w:rsid w:val="00846907"/>
    <w:rsid w:val="008552D6"/>
    <w:rsid w:val="00866245"/>
    <w:rsid w:val="008B7908"/>
    <w:rsid w:val="008C12B1"/>
    <w:rsid w:val="008F6951"/>
    <w:rsid w:val="00917460"/>
    <w:rsid w:val="00921E52"/>
    <w:rsid w:val="0093347B"/>
    <w:rsid w:val="00955FF7"/>
    <w:rsid w:val="00962CEF"/>
    <w:rsid w:val="00982638"/>
    <w:rsid w:val="009A4202"/>
    <w:rsid w:val="009C652A"/>
    <w:rsid w:val="009D03FB"/>
    <w:rsid w:val="009D2B82"/>
    <w:rsid w:val="009E4B2D"/>
    <w:rsid w:val="00A361FE"/>
    <w:rsid w:val="00A438A5"/>
    <w:rsid w:val="00A51381"/>
    <w:rsid w:val="00A81850"/>
    <w:rsid w:val="00AB3D9E"/>
    <w:rsid w:val="00AC787D"/>
    <w:rsid w:val="00B80555"/>
    <w:rsid w:val="00B86827"/>
    <w:rsid w:val="00B96AF5"/>
    <w:rsid w:val="00BA0723"/>
    <w:rsid w:val="00BB32EA"/>
    <w:rsid w:val="00BB7D71"/>
    <w:rsid w:val="00BF69C1"/>
    <w:rsid w:val="00C130BD"/>
    <w:rsid w:val="00C17CC5"/>
    <w:rsid w:val="00C71C6C"/>
    <w:rsid w:val="00C9556D"/>
    <w:rsid w:val="00CD0151"/>
    <w:rsid w:val="00D14650"/>
    <w:rsid w:val="00D54D67"/>
    <w:rsid w:val="00D6008A"/>
    <w:rsid w:val="00D85AC0"/>
    <w:rsid w:val="00D87423"/>
    <w:rsid w:val="00DA370F"/>
    <w:rsid w:val="00DC6CD3"/>
    <w:rsid w:val="00DF57DC"/>
    <w:rsid w:val="00E34ACA"/>
    <w:rsid w:val="00E35266"/>
    <w:rsid w:val="00E37BB5"/>
    <w:rsid w:val="00EB1E0A"/>
    <w:rsid w:val="00ED768B"/>
    <w:rsid w:val="00F4530F"/>
    <w:rsid w:val="00F502BC"/>
    <w:rsid w:val="00FD4FC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B5461"/>
  <w15:chartTrackingRefBased/>
  <w15:docId w15:val="{DFB1489B-52C1-404D-9FB9-42A95439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1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0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9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6F"/>
  </w:style>
  <w:style w:type="paragraph" w:styleId="Footer">
    <w:name w:val="footer"/>
    <w:basedOn w:val="Normal"/>
    <w:link w:val="FooterChar"/>
    <w:uiPriority w:val="99"/>
    <w:unhideWhenUsed/>
    <w:rsid w:val="007769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6F"/>
  </w:style>
  <w:style w:type="character" w:styleId="CommentReference">
    <w:name w:val="annotation reference"/>
    <w:basedOn w:val="DefaultParagraphFont"/>
    <w:uiPriority w:val="99"/>
    <w:semiHidden/>
    <w:unhideWhenUsed/>
    <w:rsid w:val="00DC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4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ren.grabe@acph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Noh</dc:creator>
  <cp:keywords/>
  <dc:description/>
  <cp:lastModifiedBy>Bernard Tyrrell</cp:lastModifiedBy>
  <cp:revision>2</cp:revision>
  <dcterms:created xsi:type="dcterms:W3CDTF">2023-03-15T12:56:00Z</dcterms:created>
  <dcterms:modified xsi:type="dcterms:W3CDTF">2023-03-15T12:56:00Z</dcterms:modified>
</cp:coreProperties>
</file>