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7FC98" w14:textId="77777777" w:rsidR="00434315" w:rsidRPr="007F6412" w:rsidRDefault="00434315" w:rsidP="00434315">
      <w:pPr>
        <w:pStyle w:val="NoSpacing"/>
        <w:jc w:val="center"/>
        <w:rPr>
          <w:rFonts w:cs="Arial"/>
          <w:sz w:val="24"/>
          <w:szCs w:val="24"/>
        </w:rPr>
      </w:pPr>
      <w:r w:rsidRPr="007F6412">
        <w:rPr>
          <w:rFonts w:cs="Arial"/>
          <w:sz w:val="24"/>
          <w:szCs w:val="24"/>
        </w:rPr>
        <w:t xml:space="preserve">Journal Club Presentation – Ambulatory Care Rotation </w:t>
      </w:r>
    </w:p>
    <w:p w14:paraId="03C202BA" w14:textId="01A20F16" w:rsidR="00434315" w:rsidRPr="007F6412" w:rsidRDefault="00817832" w:rsidP="00434315">
      <w:pPr>
        <w:pStyle w:val="NoSpacing"/>
        <w:jc w:val="center"/>
        <w:rPr>
          <w:rFonts w:cs="Arial"/>
          <w:sz w:val="24"/>
          <w:szCs w:val="24"/>
        </w:rPr>
      </w:pPr>
      <w:r w:rsidRPr="007F6412">
        <w:rPr>
          <w:rFonts w:cs="Arial"/>
          <w:sz w:val="24"/>
          <w:szCs w:val="24"/>
        </w:rPr>
        <w:t>Parker Fowler,</w:t>
      </w:r>
      <w:r w:rsidR="00434315" w:rsidRPr="007F6412">
        <w:rPr>
          <w:rFonts w:cs="Arial"/>
          <w:sz w:val="24"/>
          <w:szCs w:val="24"/>
        </w:rPr>
        <w:t xml:space="preserve"> PharmD Candidate 202</w:t>
      </w:r>
      <w:r w:rsidRPr="007F6412">
        <w:rPr>
          <w:rFonts w:cs="Arial"/>
          <w:sz w:val="24"/>
          <w:szCs w:val="24"/>
        </w:rPr>
        <w:t>6</w:t>
      </w:r>
    </w:p>
    <w:p w14:paraId="44EF5331" w14:textId="77777777" w:rsidR="00434315" w:rsidRPr="001B72D4" w:rsidRDefault="00434315" w:rsidP="00434315">
      <w:pPr>
        <w:pStyle w:val="NoSpacing"/>
        <w:jc w:val="center"/>
        <w:rPr>
          <w:rFonts w:ascii="Arial" w:hAnsi="Arial" w:cs="Arial"/>
          <w:sz w:val="20"/>
          <w:szCs w:val="20"/>
        </w:rPr>
      </w:pPr>
    </w:p>
    <w:tbl>
      <w:tblPr>
        <w:tblW w:w="6317" w:type="pct"/>
        <w:tblInd w:w="-11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9"/>
        <w:gridCol w:w="9576"/>
      </w:tblGrid>
      <w:tr w:rsidR="00434315" w:rsidRPr="007F6412" w14:paraId="2C1BD255"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tcPr>
          <w:p w14:paraId="2C574C6E" w14:textId="77777777" w:rsidR="00434315" w:rsidRPr="007F6412" w:rsidRDefault="00434315" w:rsidP="007F6412">
            <w:pPr>
              <w:keepNext/>
              <w:spacing w:before="240" w:line="240" w:lineRule="auto"/>
              <w:outlineLvl w:val="0"/>
              <w:rPr>
                <w:rFonts w:eastAsia="Times New Roman" w:cs="Arial"/>
                <w:b/>
                <w:bCs/>
                <w:color w:val="000000"/>
              </w:rPr>
            </w:pPr>
          </w:p>
        </w:tc>
      </w:tr>
      <w:tr w:rsidR="00434315" w:rsidRPr="007F6412" w14:paraId="16B705C1" w14:textId="77777777" w:rsidTr="002B095B">
        <w:trPr>
          <w:trHeight w:val="237"/>
        </w:trPr>
        <w:tc>
          <w:tcPr>
            <w:tcW w:w="5000" w:type="pct"/>
            <w:gridSpan w:val="2"/>
            <w:tcBorders>
              <w:top w:val="single" w:sz="6" w:space="0" w:color="auto"/>
              <w:left w:val="single" w:sz="6" w:space="0" w:color="auto"/>
              <w:bottom w:val="single" w:sz="4" w:space="0" w:color="auto"/>
              <w:right w:val="single" w:sz="6" w:space="0" w:color="auto"/>
            </w:tcBorders>
            <w:hideMark/>
          </w:tcPr>
          <w:p w14:paraId="4260CD76" w14:textId="77777777" w:rsidR="00434315" w:rsidRPr="007F6412" w:rsidRDefault="00434315" w:rsidP="007F6412">
            <w:pPr>
              <w:spacing w:before="240" w:line="240" w:lineRule="auto"/>
              <w:rPr>
                <w:rFonts w:eastAsia="Times New Roman" w:cs="Arial"/>
                <w:b/>
              </w:rPr>
            </w:pPr>
            <w:r w:rsidRPr="007F6412">
              <w:rPr>
                <w:rFonts w:eastAsia="Times New Roman" w:cs="Arial"/>
                <w:b/>
              </w:rPr>
              <w:t>OVERVIEW</w:t>
            </w:r>
          </w:p>
        </w:tc>
      </w:tr>
      <w:tr w:rsidR="00434315" w:rsidRPr="007F6412" w14:paraId="575D9715" w14:textId="77777777" w:rsidTr="002B095B">
        <w:trPr>
          <w:trHeight w:val="197"/>
        </w:trPr>
        <w:tc>
          <w:tcPr>
            <w:tcW w:w="944" w:type="pct"/>
            <w:tcBorders>
              <w:top w:val="single" w:sz="4" w:space="0" w:color="auto"/>
              <w:left w:val="single" w:sz="6" w:space="0" w:color="auto"/>
              <w:bottom w:val="single" w:sz="6" w:space="0" w:color="auto"/>
              <w:right w:val="single" w:sz="6" w:space="0" w:color="auto"/>
            </w:tcBorders>
            <w:hideMark/>
          </w:tcPr>
          <w:p w14:paraId="06648772" w14:textId="20094DDC"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Title</w:t>
            </w:r>
            <w:r w:rsidR="000A2178">
              <w:rPr>
                <w:rFonts w:eastAsia="Times New Roman" w:cs="Arial"/>
                <w:b/>
                <w:vertAlign w:val="superscript"/>
              </w:rPr>
              <w:t>1</w:t>
            </w:r>
          </w:p>
        </w:tc>
        <w:tc>
          <w:tcPr>
            <w:tcW w:w="4056" w:type="pct"/>
            <w:tcBorders>
              <w:top w:val="single" w:sz="4" w:space="0" w:color="auto"/>
              <w:left w:val="single" w:sz="6" w:space="0" w:color="auto"/>
              <w:bottom w:val="single" w:sz="6" w:space="0" w:color="auto"/>
              <w:right w:val="single" w:sz="6" w:space="0" w:color="auto"/>
            </w:tcBorders>
            <w:hideMark/>
          </w:tcPr>
          <w:p w14:paraId="59ACDB15" w14:textId="7723A112" w:rsidR="00434315" w:rsidRPr="007F6412" w:rsidRDefault="00817832" w:rsidP="007F6412">
            <w:pPr>
              <w:tabs>
                <w:tab w:val="left" w:pos="342"/>
                <w:tab w:val="left" w:pos="522"/>
              </w:tabs>
              <w:spacing w:before="240" w:line="240" w:lineRule="auto"/>
              <w:rPr>
                <w:rFonts w:eastAsia="Times New Roman" w:cs="Arial"/>
                <w:b/>
                <w:bCs/>
              </w:rPr>
            </w:pPr>
            <w:r w:rsidRPr="00817832">
              <w:rPr>
                <w:rFonts w:eastAsia="Times New Roman" w:cs="Arial"/>
                <w:b/>
                <w:bCs/>
              </w:rPr>
              <w:t>Direct Oral Anticoagulants Versus Vitamin K Antagonists for the Management of Left Ventricular Thrombus After Myocardial Infarction: A Meta-Analysi</w:t>
            </w:r>
            <w:r w:rsidRPr="007F6412">
              <w:rPr>
                <w:rFonts w:eastAsia="Times New Roman" w:cs="Arial"/>
                <w:b/>
                <w:bCs/>
              </w:rPr>
              <w:t>s</w:t>
            </w:r>
          </w:p>
        </w:tc>
      </w:tr>
      <w:tr w:rsidR="00434315" w:rsidRPr="007F6412" w14:paraId="2A7ECB43"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3C79F465" w14:textId="385CCD42"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Authors</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2DA19285" w14:textId="76E1263A" w:rsidR="00434315" w:rsidRPr="007F6412" w:rsidRDefault="00817832" w:rsidP="007F6412">
            <w:pPr>
              <w:tabs>
                <w:tab w:val="left" w:pos="342"/>
                <w:tab w:val="left" w:pos="522"/>
              </w:tabs>
              <w:spacing w:before="240" w:line="240" w:lineRule="auto"/>
              <w:rPr>
                <w:rFonts w:eastAsia="Times New Roman" w:cs="Arial"/>
                <w:b/>
                <w:bCs/>
              </w:rPr>
            </w:pPr>
            <w:r w:rsidRPr="007F6412">
              <w:rPr>
                <w:rFonts w:eastAsia="Times New Roman" w:cs="Arial"/>
                <w:b/>
                <w:bCs/>
              </w:rPr>
              <w:t>C</w:t>
            </w:r>
            <w:r w:rsidR="00B01568" w:rsidRPr="007F6412">
              <w:rPr>
                <w:rFonts w:eastAsia="Times New Roman" w:cs="Arial"/>
                <w:b/>
                <w:bCs/>
              </w:rPr>
              <w:t xml:space="preserve">. </w:t>
            </w:r>
            <w:r w:rsidRPr="007F6412">
              <w:rPr>
                <w:rFonts w:eastAsia="Times New Roman" w:cs="Arial"/>
                <w:b/>
                <w:bCs/>
              </w:rPr>
              <w:t>Gogos, V</w:t>
            </w:r>
            <w:r w:rsidR="00B01568" w:rsidRPr="007F6412">
              <w:rPr>
                <w:rFonts w:eastAsia="Times New Roman" w:cs="Arial"/>
                <w:b/>
                <w:bCs/>
              </w:rPr>
              <w:t xml:space="preserve">. </w:t>
            </w:r>
            <w:r w:rsidRPr="007F6412">
              <w:rPr>
                <w:rFonts w:eastAsia="Times New Roman" w:cs="Arial"/>
                <w:b/>
                <w:bCs/>
              </w:rPr>
              <w:t>Anastasiou, A</w:t>
            </w:r>
            <w:r w:rsidR="00B01568" w:rsidRPr="007F6412">
              <w:rPr>
                <w:rFonts w:eastAsia="Times New Roman" w:cs="Arial"/>
                <w:b/>
                <w:bCs/>
              </w:rPr>
              <w:t xml:space="preserve">.S. </w:t>
            </w:r>
            <w:r w:rsidRPr="007F6412">
              <w:rPr>
                <w:rFonts w:eastAsia="Times New Roman" w:cs="Arial"/>
                <w:b/>
                <w:bCs/>
              </w:rPr>
              <w:t>Papazoglou</w:t>
            </w:r>
            <w:r w:rsidR="00434315" w:rsidRPr="007F6412">
              <w:rPr>
                <w:rFonts w:eastAsia="Times New Roman" w:cs="Arial"/>
                <w:b/>
                <w:bCs/>
              </w:rPr>
              <w:t>, et al.</w:t>
            </w:r>
          </w:p>
        </w:tc>
      </w:tr>
      <w:tr w:rsidR="00434315" w:rsidRPr="007F6412" w14:paraId="2661C3BB"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tcPr>
          <w:p w14:paraId="5D48A619" w14:textId="5B3B25A8"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Date of Publication</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tcPr>
          <w:p w14:paraId="47190857" w14:textId="68F5B70C" w:rsidR="00434315" w:rsidRPr="007F6412" w:rsidRDefault="00817832" w:rsidP="007F6412">
            <w:pPr>
              <w:tabs>
                <w:tab w:val="left" w:pos="342"/>
                <w:tab w:val="left" w:pos="522"/>
              </w:tabs>
              <w:spacing w:before="240" w:line="240" w:lineRule="auto"/>
              <w:rPr>
                <w:rFonts w:eastAsia="Times New Roman" w:cs="Arial"/>
                <w:b/>
                <w:bCs/>
              </w:rPr>
            </w:pPr>
            <w:r w:rsidRPr="007F6412">
              <w:rPr>
                <w:rFonts w:eastAsia="Times New Roman" w:cs="Arial"/>
                <w:b/>
                <w:bCs/>
              </w:rPr>
              <w:t>December 1, 2024</w:t>
            </w:r>
          </w:p>
        </w:tc>
      </w:tr>
      <w:tr w:rsidR="00434315" w:rsidRPr="007F6412" w14:paraId="3048FFF1" w14:textId="77777777" w:rsidTr="002B095B">
        <w:trPr>
          <w:trHeight w:val="183"/>
        </w:trPr>
        <w:tc>
          <w:tcPr>
            <w:tcW w:w="944" w:type="pct"/>
            <w:tcBorders>
              <w:top w:val="single" w:sz="6" w:space="0" w:color="auto"/>
              <w:left w:val="single" w:sz="6" w:space="0" w:color="auto"/>
              <w:bottom w:val="single" w:sz="6" w:space="0" w:color="auto"/>
              <w:right w:val="single" w:sz="6" w:space="0" w:color="auto"/>
            </w:tcBorders>
            <w:hideMark/>
          </w:tcPr>
          <w:p w14:paraId="0F9E9369" w14:textId="04BD2B03"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Journal</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5189D8A5" w14:textId="48AEB3E9" w:rsidR="00434315" w:rsidRPr="007F6412" w:rsidRDefault="00817832" w:rsidP="007F6412">
            <w:pPr>
              <w:spacing w:before="240" w:line="240" w:lineRule="auto"/>
              <w:rPr>
                <w:rFonts w:eastAsia="Times New Roman" w:cs="Arial"/>
                <w:b/>
                <w:bCs/>
              </w:rPr>
            </w:pPr>
            <w:r w:rsidRPr="007F6412">
              <w:rPr>
                <w:rFonts w:eastAsia="Times New Roman" w:cs="Arial"/>
                <w:b/>
                <w:bCs/>
              </w:rPr>
              <w:t>The American Journal of Cardiology</w:t>
            </w:r>
          </w:p>
        </w:tc>
      </w:tr>
      <w:tr w:rsidR="00434315" w:rsidRPr="007F6412" w14:paraId="1EA7F265"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tcPr>
          <w:p w14:paraId="7572588C" w14:textId="15C36539" w:rsidR="00434315" w:rsidRPr="00C82757" w:rsidRDefault="00434315" w:rsidP="00C82757">
            <w:pPr>
              <w:spacing w:before="240" w:line="240" w:lineRule="auto"/>
              <w:rPr>
                <w:rFonts w:eastAsia="Times New Roman" w:cs="Arial"/>
                <w:vertAlign w:val="superscript"/>
              </w:rPr>
            </w:pPr>
            <w:r w:rsidRPr="007F6412">
              <w:rPr>
                <w:rFonts w:eastAsia="Times New Roman" w:cs="Arial"/>
                <w:b/>
              </w:rPr>
              <w:t>Background</w:t>
            </w:r>
            <w:r w:rsidR="000A2178">
              <w:rPr>
                <w:rFonts w:eastAsia="Times New Roman" w:cs="Arial"/>
                <w:b/>
                <w:vertAlign w:val="superscript"/>
              </w:rPr>
              <w:t>1,2</w:t>
            </w:r>
          </w:p>
        </w:tc>
        <w:tc>
          <w:tcPr>
            <w:tcW w:w="4056" w:type="pct"/>
            <w:tcBorders>
              <w:top w:val="single" w:sz="6" w:space="0" w:color="auto"/>
              <w:left w:val="single" w:sz="6" w:space="0" w:color="auto"/>
              <w:bottom w:val="single" w:sz="6" w:space="0" w:color="auto"/>
              <w:right w:val="single" w:sz="6" w:space="0" w:color="auto"/>
            </w:tcBorders>
            <w:hideMark/>
          </w:tcPr>
          <w:p w14:paraId="687587FC" w14:textId="392B74A7" w:rsidR="009524F7" w:rsidRPr="007F6412" w:rsidRDefault="009524F7" w:rsidP="007F6412">
            <w:pPr>
              <w:pStyle w:val="ListParagraph"/>
              <w:numPr>
                <w:ilvl w:val="0"/>
                <w:numId w:val="1"/>
              </w:numPr>
              <w:tabs>
                <w:tab w:val="left" w:pos="432"/>
              </w:tabs>
              <w:spacing w:before="240" w:line="240" w:lineRule="auto"/>
              <w:contextualSpacing w:val="0"/>
              <w:rPr>
                <w:rFonts w:eastAsia="Times New Roman" w:cs="Arial"/>
              </w:rPr>
            </w:pPr>
            <w:r w:rsidRPr="007F6412">
              <w:t>Formation of left ventricular thrombus</w:t>
            </w:r>
            <w:r w:rsidR="00AC7B25" w:rsidRPr="007F6412">
              <w:t xml:space="preserve"> (LVT)</w:t>
            </w:r>
            <w:r w:rsidRPr="007F6412">
              <w:t xml:space="preserve"> ranges from 0.4% to 26% after </w:t>
            </w:r>
            <w:r w:rsidRPr="007F6412">
              <w:t>acute myocardial infarction (</w:t>
            </w:r>
            <w:r w:rsidRPr="007F6412">
              <w:t>AMI</w:t>
            </w:r>
            <w:r w:rsidRPr="007F6412">
              <w:t>)</w:t>
            </w:r>
            <w:r w:rsidRPr="007F6412">
              <w:t>,</w:t>
            </w:r>
            <w:r w:rsidRPr="007F6412">
              <w:t xml:space="preserve"> </w:t>
            </w:r>
            <w:r w:rsidRPr="007F6412">
              <w:t>and is a potentially life-threatening complication, augmenting 5.5-fold risk of thromboembolic events.</w:t>
            </w:r>
          </w:p>
          <w:p w14:paraId="3C279F58" w14:textId="2F58AFBB" w:rsidR="009524F7" w:rsidRPr="007F6412" w:rsidRDefault="009524F7" w:rsidP="007F6412">
            <w:pPr>
              <w:pStyle w:val="ListParagraph"/>
              <w:numPr>
                <w:ilvl w:val="0"/>
                <w:numId w:val="1"/>
              </w:numPr>
              <w:tabs>
                <w:tab w:val="left" w:pos="432"/>
              </w:tabs>
              <w:spacing w:before="240" w:line="240" w:lineRule="auto"/>
              <w:contextualSpacing w:val="0"/>
              <w:rPr>
                <w:rFonts w:eastAsia="Times New Roman" w:cs="Arial"/>
              </w:rPr>
            </w:pPr>
            <w:r w:rsidRPr="007F6412">
              <w:t xml:space="preserve">The </w:t>
            </w:r>
            <w:r w:rsidRPr="007F6412">
              <w:rPr>
                <w:rStyle w:val="Strong"/>
              </w:rPr>
              <w:t xml:space="preserve">current </w:t>
            </w:r>
            <w:r w:rsidR="0079113D">
              <w:rPr>
                <w:rStyle w:val="Strong"/>
              </w:rPr>
              <w:t xml:space="preserve">2024 </w:t>
            </w:r>
            <w:r w:rsidRPr="007F6412">
              <w:rPr>
                <w:rStyle w:val="Strong"/>
              </w:rPr>
              <w:t>guideline-recommended therapy</w:t>
            </w:r>
            <w:r w:rsidRPr="007F6412">
              <w:t xml:space="preserve"> for </w:t>
            </w:r>
            <w:r w:rsidR="00AC7B25" w:rsidRPr="007F6412">
              <w:t>LVT</w:t>
            </w:r>
            <w:r w:rsidRPr="007F6412">
              <w:t xml:space="preserve"> has long been vitamin K antagonists (VKAs), such as warfarin, based mainly on older observational data and expert consensus, rather than on robust </w:t>
            </w:r>
            <w:r w:rsidR="00FC077E" w:rsidRPr="007F6412">
              <w:t>randomized control trials (</w:t>
            </w:r>
            <w:r w:rsidRPr="007F6412">
              <w:t>RCTs</w:t>
            </w:r>
            <w:r w:rsidR="00FC077E" w:rsidRPr="007F6412">
              <w:t>)</w:t>
            </w:r>
            <w:r w:rsidRPr="007F6412">
              <w:t xml:space="preserve">. </w:t>
            </w:r>
            <w:r w:rsidR="003F2925" w:rsidRPr="007F6412">
              <w:t xml:space="preserve">However, </w:t>
            </w:r>
            <w:r w:rsidRPr="007F6412">
              <w:t>VKAs</w:t>
            </w:r>
            <w:r w:rsidR="00FC077E" w:rsidRPr="007F6412">
              <w:t xml:space="preserve"> </w:t>
            </w:r>
            <w:r w:rsidRPr="007F6412">
              <w:t xml:space="preserve">present </w:t>
            </w:r>
            <w:r w:rsidR="003F2925" w:rsidRPr="007F6412">
              <w:t xml:space="preserve">major </w:t>
            </w:r>
            <w:r w:rsidRPr="007F6412">
              <w:t>challenges</w:t>
            </w:r>
            <w:r w:rsidR="003F2925" w:rsidRPr="007F6412">
              <w:t xml:space="preserve">, </w:t>
            </w:r>
            <w:r w:rsidR="00FC077E" w:rsidRPr="007F6412">
              <w:t>with</w:t>
            </w:r>
            <w:r w:rsidRPr="007F6412">
              <w:t xml:space="preserve"> </w:t>
            </w:r>
            <w:r w:rsidR="00FC077E" w:rsidRPr="007F6412">
              <w:t xml:space="preserve">a </w:t>
            </w:r>
            <w:r w:rsidRPr="007F6412">
              <w:t>narrow therapeutic window, need for regular INR monitoring, frequent food and drug interactions, and variable dose-response, all of which can limit adherence and increase the risk of bleeding or subtherapeutic anticoagulation.</w:t>
            </w:r>
          </w:p>
          <w:p w14:paraId="11D01EE8" w14:textId="62D388A2" w:rsidR="00FC077E" w:rsidRPr="007F6412" w:rsidRDefault="00FC077E" w:rsidP="007F6412">
            <w:pPr>
              <w:pStyle w:val="ListParagraph"/>
              <w:numPr>
                <w:ilvl w:val="0"/>
                <w:numId w:val="1"/>
              </w:numPr>
              <w:tabs>
                <w:tab w:val="left" w:pos="432"/>
              </w:tabs>
              <w:spacing w:before="240" w:line="240" w:lineRule="auto"/>
              <w:contextualSpacing w:val="0"/>
              <w:rPr>
                <w:rFonts w:eastAsia="Times New Roman" w:cs="Arial"/>
              </w:rPr>
            </w:pPr>
            <w:r w:rsidRPr="007F6412">
              <w:t>Direct Oral Anticoagulants</w:t>
            </w:r>
            <w:r w:rsidRPr="007F6412">
              <w:t xml:space="preserve"> (DOACs) </w:t>
            </w:r>
            <w:r w:rsidR="009524F7" w:rsidRPr="007F6412">
              <w:t xml:space="preserve">have revolutionized anticoagulation in </w:t>
            </w:r>
            <w:r w:rsidRPr="007F6412">
              <w:t>Atrial fibrillation (</w:t>
            </w:r>
            <w:r w:rsidR="009524F7" w:rsidRPr="007F6412">
              <w:t>A</w:t>
            </w:r>
            <w:r w:rsidRPr="007F6412">
              <w:t>F</w:t>
            </w:r>
            <w:r w:rsidR="009524F7" w:rsidRPr="007F6412">
              <w:t>ib</w:t>
            </w:r>
            <w:r w:rsidRPr="007F6412">
              <w:t>)</w:t>
            </w:r>
            <w:r w:rsidR="009524F7" w:rsidRPr="007F6412">
              <w:t xml:space="preserve"> and </w:t>
            </w:r>
            <w:r w:rsidRPr="007F6412">
              <w:t xml:space="preserve">Venous </w:t>
            </w:r>
            <w:r w:rsidRPr="007F6412">
              <w:t>T</w:t>
            </w:r>
            <w:r w:rsidRPr="007F6412">
              <w:t>hromboembolism</w:t>
            </w:r>
            <w:r w:rsidRPr="007F6412">
              <w:t xml:space="preserve"> (</w:t>
            </w:r>
            <w:r w:rsidR="009524F7" w:rsidRPr="007F6412">
              <w:t>VTE</w:t>
            </w:r>
            <w:r w:rsidRPr="007F6412">
              <w:t>)</w:t>
            </w:r>
            <w:r w:rsidR="009524F7" w:rsidRPr="007F6412">
              <w:t>, demonstrating non-inferior or even superior efficacy and safety compared to VKAs in these settings. DOACs offer several advantages: rapid onset/offset, predictable pharmacokinetics, fixed dosing, and no routine coagulation monitorin</w:t>
            </w:r>
            <w:r w:rsidR="009524F7" w:rsidRPr="007F6412">
              <w:t xml:space="preserve">g. This potentially </w:t>
            </w:r>
            <w:r w:rsidR="009524F7" w:rsidRPr="007F6412">
              <w:t>mak</w:t>
            </w:r>
            <w:r w:rsidR="009524F7" w:rsidRPr="007F6412">
              <w:t>es</w:t>
            </w:r>
            <w:r w:rsidR="009524F7" w:rsidRPr="007F6412">
              <w:t xml:space="preserve"> them ideal for management of LV thrombus post-MI.</w:t>
            </w:r>
          </w:p>
          <w:p w14:paraId="311FE830" w14:textId="01DBFE2A" w:rsidR="00434315" w:rsidRPr="00C82757" w:rsidRDefault="00FC077E" w:rsidP="007F6412">
            <w:pPr>
              <w:pStyle w:val="ListParagraph"/>
              <w:numPr>
                <w:ilvl w:val="0"/>
                <w:numId w:val="1"/>
              </w:numPr>
              <w:tabs>
                <w:tab w:val="left" w:pos="432"/>
              </w:tabs>
              <w:spacing w:before="240" w:line="240" w:lineRule="auto"/>
              <w:contextualSpacing w:val="0"/>
              <w:rPr>
                <w:rFonts w:eastAsia="Times New Roman" w:cs="Arial"/>
              </w:rPr>
            </w:pPr>
            <w:r w:rsidRPr="007F6412">
              <w:rPr>
                <w:rFonts w:eastAsia="Times New Roman" w:cs="Arial"/>
              </w:rPr>
              <w:t>Several studies have shown the benefits of DOACs in VTE (EINSTEIN and AMPLIFY) and AFib</w:t>
            </w:r>
            <w:r w:rsidR="003F2925" w:rsidRPr="007F6412">
              <w:rPr>
                <w:rFonts w:eastAsia="Times New Roman" w:cs="Arial"/>
              </w:rPr>
              <w:t xml:space="preserve"> (ROCKET-AF and ARISTOTLE)</w:t>
            </w:r>
          </w:p>
          <w:p w14:paraId="301B3408" w14:textId="77777777" w:rsidR="00434315" w:rsidRPr="007F6412" w:rsidRDefault="00434315" w:rsidP="007F6412">
            <w:pPr>
              <w:tabs>
                <w:tab w:val="left" w:pos="432"/>
              </w:tabs>
              <w:spacing w:before="240" w:line="240" w:lineRule="auto"/>
              <w:rPr>
                <w:rFonts w:eastAsia="Times New Roman" w:cs="Arial"/>
              </w:rPr>
            </w:pPr>
          </w:p>
        </w:tc>
      </w:tr>
      <w:tr w:rsidR="00434315" w:rsidRPr="007F6412" w14:paraId="4D860BCA" w14:textId="77777777" w:rsidTr="002B095B">
        <w:trPr>
          <w:trHeight w:val="68"/>
        </w:trPr>
        <w:tc>
          <w:tcPr>
            <w:tcW w:w="944" w:type="pct"/>
            <w:tcBorders>
              <w:top w:val="single" w:sz="6" w:space="0" w:color="auto"/>
              <w:left w:val="single" w:sz="6" w:space="0" w:color="auto"/>
              <w:bottom w:val="single" w:sz="6" w:space="0" w:color="auto"/>
              <w:right w:val="single" w:sz="6" w:space="0" w:color="auto"/>
            </w:tcBorders>
            <w:hideMark/>
          </w:tcPr>
          <w:p w14:paraId="2C0ADE37" w14:textId="6827D73F"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Study Goal</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37FBAF6F" w14:textId="3CC70C2C" w:rsidR="00434315" w:rsidRPr="007F6412" w:rsidRDefault="00030ED4" w:rsidP="007F6412">
            <w:pPr>
              <w:spacing w:before="240" w:line="240" w:lineRule="auto"/>
              <w:rPr>
                <w:rFonts w:eastAsia="Times New Roman" w:cs="Arial"/>
              </w:rPr>
            </w:pPr>
            <w:r w:rsidRPr="007F6412">
              <w:t>To systematically review and meta-analy</w:t>
            </w:r>
            <w:r w:rsidR="0025150D">
              <w:t>sis</w:t>
            </w:r>
            <w:r w:rsidRPr="007F6412">
              <w:t xml:space="preserve"> available data comparing efficacy and safety of DOACs against VKAs in treating LVT after </w:t>
            </w:r>
            <w:r w:rsidRPr="007F6412">
              <w:t xml:space="preserve">an </w:t>
            </w:r>
            <w:r w:rsidRPr="007F6412">
              <w:t>AMI.</w:t>
            </w:r>
          </w:p>
        </w:tc>
      </w:tr>
      <w:tr w:rsidR="00434315" w:rsidRPr="007F6412" w14:paraId="78D83E4B"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2A7F35C0" w14:textId="5B797ED3"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Funding</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6D3DD9C5" w14:textId="221E3384" w:rsidR="00434315" w:rsidRPr="005335D5" w:rsidRDefault="00B01568" w:rsidP="007F6412">
            <w:pPr>
              <w:spacing w:before="240" w:line="240" w:lineRule="auto"/>
              <w:rPr>
                <w:rFonts w:eastAsia="Times New Roman" w:cs="Arial"/>
              </w:rPr>
            </w:pPr>
            <w:r w:rsidRPr="005335D5">
              <w:rPr>
                <w:rFonts w:eastAsia="Times New Roman" w:cs="Arial"/>
              </w:rPr>
              <w:t>None</w:t>
            </w:r>
            <w:r w:rsidR="00DA71AD" w:rsidRPr="005335D5">
              <w:rPr>
                <w:rFonts w:eastAsia="Times New Roman" w:cs="Arial"/>
              </w:rPr>
              <w:t xml:space="preserve"> (</w:t>
            </w:r>
            <w:r w:rsidRPr="005335D5">
              <w:t>recorded on page 13 of the supplement</w:t>
            </w:r>
            <w:r w:rsidR="00DA71AD" w:rsidRPr="005335D5">
              <w:t>)</w:t>
            </w:r>
          </w:p>
        </w:tc>
      </w:tr>
      <w:tr w:rsidR="00434315" w:rsidRPr="007F6412" w14:paraId="542FF40B"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hideMark/>
          </w:tcPr>
          <w:p w14:paraId="1ADABA76" w14:textId="77777777" w:rsidR="00434315" w:rsidRPr="007F6412" w:rsidRDefault="00434315" w:rsidP="007F6412">
            <w:pPr>
              <w:keepNext/>
              <w:tabs>
                <w:tab w:val="left" w:pos="432"/>
              </w:tabs>
              <w:spacing w:before="240" w:line="240" w:lineRule="auto"/>
              <w:ind w:left="522" w:hanging="360"/>
              <w:outlineLvl w:val="0"/>
              <w:rPr>
                <w:rFonts w:eastAsia="Times New Roman" w:cs="Arial"/>
                <w:b/>
                <w:bCs/>
                <w:color w:val="000000"/>
              </w:rPr>
            </w:pPr>
            <w:r w:rsidRPr="007F6412">
              <w:rPr>
                <w:rFonts w:eastAsia="Times New Roman" w:cs="Arial"/>
                <w:b/>
                <w:bCs/>
                <w:color w:val="000000"/>
              </w:rPr>
              <w:lastRenderedPageBreak/>
              <w:t>General Study Overview</w:t>
            </w:r>
          </w:p>
        </w:tc>
      </w:tr>
      <w:tr w:rsidR="00434315" w:rsidRPr="007F6412" w14:paraId="236EB668" w14:textId="77777777" w:rsidTr="002B095B">
        <w:trPr>
          <w:trHeight w:val="150"/>
        </w:trPr>
        <w:tc>
          <w:tcPr>
            <w:tcW w:w="5000" w:type="pct"/>
            <w:gridSpan w:val="2"/>
            <w:tcBorders>
              <w:top w:val="single" w:sz="6" w:space="0" w:color="auto"/>
              <w:left w:val="single" w:sz="6" w:space="0" w:color="auto"/>
              <w:bottom w:val="single" w:sz="6" w:space="0" w:color="auto"/>
              <w:right w:val="single" w:sz="6" w:space="0" w:color="auto"/>
            </w:tcBorders>
            <w:hideMark/>
          </w:tcPr>
          <w:p w14:paraId="4EB22628" w14:textId="7BAB22A5" w:rsidR="00434315" w:rsidRPr="007F6412" w:rsidRDefault="00434315" w:rsidP="007F6412">
            <w:pPr>
              <w:spacing w:before="240" w:line="240" w:lineRule="auto"/>
              <w:rPr>
                <w:rFonts w:eastAsia="Times New Roman" w:cs="Arial"/>
                <w:b/>
                <w:vertAlign w:val="superscript"/>
              </w:rPr>
            </w:pPr>
            <w:r w:rsidRPr="007F6412">
              <w:rPr>
                <w:rFonts w:eastAsia="Times New Roman" w:cs="Arial"/>
                <w:b/>
              </w:rPr>
              <w:t>METHODOLOGY</w:t>
            </w:r>
          </w:p>
        </w:tc>
      </w:tr>
      <w:tr w:rsidR="00434315" w:rsidRPr="007F6412" w14:paraId="4F68BED9"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69588081" w14:textId="498C81B7"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Study Design</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0346D512" w14:textId="7ADFBF82" w:rsidR="00434315" w:rsidRPr="007F6412" w:rsidRDefault="00DA71AD" w:rsidP="007F6412">
            <w:pPr>
              <w:spacing w:before="240" w:line="240" w:lineRule="auto"/>
              <w:rPr>
                <w:rFonts w:eastAsia="Calibri" w:cs="Arial"/>
              </w:rPr>
            </w:pPr>
            <w:r w:rsidRPr="007F6412">
              <w:t xml:space="preserve">Systematic review and meta-analysis pooled data from </w:t>
            </w:r>
            <w:r w:rsidR="001C206C" w:rsidRPr="007F6412">
              <w:rPr>
                <w:b/>
                <w:bCs/>
              </w:rPr>
              <w:t>8</w:t>
            </w:r>
            <w:r w:rsidRPr="007F6412">
              <w:rPr>
                <w:rStyle w:val="Strong"/>
              </w:rPr>
              <w:t xml:space="preserve"> studies</w:t>
            </w:r>
            <w:r w:rsidR="00030ED4" w:rsidRPr="007F6412">
              <w:rPr>
                <w:rStyle w:val="Strong"/>
              </w:rPr>
              <w:t xml:space="preserve"> </w:t>
            </w:r>
            <w:r w:rsidR="00030ED4" w:rsidRPr="007F6412">
              <w:rPr>
                <w:rStyle w:val="Strong"/>
                <w:b w:val="0"/>
                <w:bCs w:val="0"/>
              </w:rPr>
              <w:t>(</w:t>
            </w:r>
            <w:r w:rsidR="00D52608" w:rsidRPr="007F6412">
              <w:rPr>
                <w:rStyle w:val="Strong"/>
                <w:b w:val="0"/>
                <w:bCs w:val="0"/>
              </w:rPr>
              <w:t>5</w:t>
            </w:r>
            <w:r w:rsidR="00D52608" w:rsidRPr="007F6412">
              <w:rPr>
                <w:rStyle w:val="Strong"/>
              </w:rPr>
              <w:t xml:space="preserve"> </w:t>
            </w:r>
            <w:r w:rsidR="00030ED4" w:rsidRPr="007F6412">
              <w:rPr>
                <w:rStyle w:val="Strong"/>
                <w:b w:val="0"/>
                <w:bCs w:val="0"/>
              </w:rPr>
              <w:t>observational</w:t>
            </w:r>
            <w:r w:rsidR="00D52608" w:rsidRPr="007F6412">
              <w:rPr>
                <w:rStyle w:val="Strong"/>
                <w:b w:val="0"/>
                <w:bCs w:val="0"/>
              </w:rPr>
              <w:t xml:space="preserve"> (4 retrospective and 1 prospective)</w:t>
            </w:r>
            <w:r w:rsidR="00030ED4" w:rsidRPr="007F6412">
              <w:rPr>
                <w:rStyle w:val="Strong"/>
                <w:b w:val="0"/>
                <w:bCs w:val="0"/>
              </w:rPr>
              <w:t xml:space="preserve"> and </w:t>
            </w:r>
            <w:r w:rsidR="00D52608" w:rsidRPr="007F6412">
              <w:rPr>
                <w:rStyle w:val="Strong"/>
                <w:b w:val="0"/>
                <w:bCs w:val="0"/>
              </w:rPr>
              <w:t>3</w:t>
            </w:r>
            <w:r w:rsidR="00D52608" w:rsidRPr="007F6412">
              <w:rPr>
                <w:rStyle w:val="Strong"/>
              </w:rPr>
              <w:t xml:space="preserve"> </w:t>
            </w:r>
            <w:r w:rsidR="00030ED4" w:rsidRPr="007F6412">
              <w:rPr>
                <w:rStyle w:val="Strong"/>
                <w:b w:val="0"/>
                <w:bCs w:val="0"/>
              </w:rPr>
              <w:t>RCTs)</w:t>
            </w:r>
            <w:r w:rsidR="00D52608" w:rsidRPr="007F6412">
              <w:rPr>
                <w:rStyle w:val="Strong"/>
                <w:b w:val="0"/>
                <w:bCs w:val="0"/>
              </w:rPr>
              <w:t xml:space="preserve"> from 2018-202</w:t>
            </w:r>
            <w:r w:rsidR="00296786">
              <w:rPr>
                <w:rStyle w:val="Strong"/>
                <w:b w:val="0"/>
                <w:bCs w:val="0"/>
              </w:rPr>
              <w:t>4</w:t>
            </w:r>
          </w:p>
        </w:tc>
      </w:tr>
      <w:tr w:rsidR="00434315" w:rsidRPr="007F6412" w14:paraId="12F490E1"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006E643A" w14:textId="2E592F3C"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Patient Population</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2607C3F0" w14:textId="1FDA6239" w:rsidR="00434315" w:rsidRPr="007F6412" w:rsidRDefault="00030ED4" w:rsidP="007F6412">
            <w:pPr>
              <w:tabs>
                <w:tab w:val="left" w:pos="432"/>
              </w:tabs>
              <w:spacing w:before="240" w:line="240" w:lineRule="auto"/>
              <w:rPr>
                <w:rFonts w:eastAsia="Times New Roman" w:cs="Arial"/>
              </w:rPr>
            </w:pPr>
            <w:r w:rsidRPr="007F6412">
              <w:rPr>
                <w:rStyle w:val="muitypography-root"/>
                <w:b/>
                <w:bCs/>
              </w:rPr>
              <w:t>605 patients</w:t>
            </w:r>
            <w:r w:rsidRPr="007F6412">
              <w:rPr>
                <w:rStyle w:val="muitypography-root"/>
              </w:rPr>
              <w:t xml:space="preserve"> were split between DOAC</w:t>
            </w:r>
            <w:r w:rsidR="000A40F3" w:rsidRPr="007F6412">
              <w:rPr>
                <w:rStyle w:val="muitypography-root"/>
              </w:rPr>
              <w:t xml:space="preserve"> (267 patients)</w:t>
            </w:r>
            <w:r w:rsidRPr="007F6412">
              <w:rPr>
                <w:rStyle w:val="muitypography-root"/>
              </w:rPr>
              <w:t xml:space="preserve"> and VKA</w:t>
            </w:r>
            <w:r w:rsidR="000A40F3" w:rsidRPr="007F6412">
              <w:rPr>
                <w:rStyle w:val="muitypography-root"/>
              </w:rPr>
              <w:t xml:space="preserve"> (338 patients)</w:t>
            </w:r>
            <w:r w:rsidRPr="007F6412">
              <w:rPr>
                <w:rStyle w:val="muitypography-root"/>
              </w:rPr>
              <w:t xml:space="preserve"> arms according to each included study’s treatment group sizes</w:t>
            </w:r>
          </w:p>
        </w:tc>
      </w:tr>
      <w:tr w:rsidR="00434315" w:rsidRPr="007F6412" w14:paraId="1D3EBB32" w14:textId="77777777" w:rsidTr="002B095B">
        <w:trPr>
          <w:trHeight w:val="1452"/>
        </w:trPr>
        <w:tc>
          <w:tcPr>
            <w:tcW w:w="944" w:type="pct"/>
            <w:tcBorders>
              <w:top w:val="single" w:sz="6" w:space="0" w:color="auto"/>
              <w:left w:val="single" w:sz="6" w:space="0" w:color="auto"/>
              <w:bottom w:val="single" w:sz="6" w:space="0" w:color="auto"/>
              <w:right w:val="single" w:sz="6" w:space="0" w:color="auto"/>
            </w:tcBorders>
            <w:hideMark/>
          </w:tcPr>
          <w:p w14:paraId="4B66B9AD" w14:textId="2E75DDE6"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Inclusion Criteria</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56E09996" w14:textId="395300F0" w:rsidR="00030ED4" w:rsidRPr="007F6412" w:rsidRDefault="00DA71AD" w:rsidP="007F6412">
            <w:pPr>
              <w:pStyle w:val="ListParagraph"/>
              <w:numPr>
                <w:ilvl w:val="0"/>
                <w:numId w:val="7"/>
              </w:numPr>
              <w:spacing w:before="240" w:line="240" w:lineRule="auto"/>
              <w:contextualSpacing w:val="0"/>
            </w:pPr>
            <w:r w:rsidRPr="007F6412">
              <w:t>Adults (age &gt;18 years) with LVT confirmed by imaging</w:t>
            </w:r>
            <w:r w:rsidR="00030ED4" w:rsidRPr="007F6412">
              <w:t xml:space="preserve"> following an AMI. (No restrictions on AMI</w:t>
            </w:r>
            <w:r w:rsidR="00D52608" w:rsidRPr="007F6412">
              <w:t xml:space="preserve"> type</w:t>
            </w:r>
            <w:r w:rsidR="00030ED4" w:rsidRPr="007F6412">
              <w:t>)</w:t>
            </w:r>
          </w:p>
          <w:p w14:paraId="1C314C4B" w14:textId="07C76884" w:rsidR="00DA71AD" w:rsidRPr="007F6412" w:rsidRDefault="000A40F3" w:rsidP="007F6412">
            <w:pPr>
              <w:pStyle w:val="ListParagraph"/>
              <w:numPr>
                <w:ilvl w:val="0"/>
                <w:numId w:val="7"/>
              </w:numPr>
              <w:spacing w:before="240" w:line="240" w:lineRule="auto"/>
              <w:contextualSpacing w:val="0"/>
            </w:pPr>
            <w:r w:rsidRPr="007F6412">
              <w:t>Patients had to be treated</w:t>
            </w:r>
            <w:r w:rsidR="00DA71AD" w:rsidRPr="007F6412">
              <w:t xml:space="preserve"> with either a DOAC</w:t>
            </w:r>
            <w:r w:rsidR="00AC7B25" w:rsidRPr="007F6412">
              <w:t xml:space="preserve"> (</w:t>
            </w:r>
            <w:r w:rsidR="00DA71AD" w:rsidRPr="007F6412">
              <w:t xml:space="preserve">rivaroxaban, apixaban, dabigatran, edoxaban) or a VKA </w:t>
            </w:r>
            <w:r w:rsidR="00AC7B25" w:rsidRPr="007F6412">
              <w:t>(</w:t>
            </w:r>
            <w:r w:rsidR="00DA71AD" w:rsidRPr="007F6412">
              <w:t>warfarin)</w:t>
            </w:r>
          </w:p>
          <w:p w14:paraId="3A16F195" w14:textId="5B58953B" w:rsidR="00434315" w:rsidRPr="007F6412" w:rsidRDefault="00DA71AD" w:rsidP="007F6412">
            <w:pPr>
              <w:pStyle w:val="ListParagraph"/>
              <w:numPr>
                <w:ilvl w:val="0"/>
                <w:numId w:val="7"/>
              </w:numPr>
              <w:spacing w:before="240" w:line="240" w:lineRule="auto"/>
              <w:contextualSpacing w:val="0"/>
            </w:pPr>
            <w:r w:rsidRPr="007F6412">
              <w:t>Studies</w:t>
            </w:r>
            <w:r w:rsidR="000A40F3" w:rsidRPr="007F6412">
              <w:t xml:space="preserve"> reported </w:t>
            </w:r>
            <w:r w:rsidRPr="007F6412">
              <w:t>for efficacy and/or safety outcomes relevant to thrombus resolution, systemic embolism, stroke, bleeding, or mortality</w:t>
            </w:r>
          </w:p>
        </w:tc>
      </w:tr>
      <w:tr w:rsidR="00434315" w:rsidRPr="007F6412" w14:paraId="7FD4B5AC"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0AA02D62" w14:textId="3575E664"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Exclusion Criteria</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67B95B6E" w14:textId="06FDF7BA" w:rsidR="00AC7B25" w:rsidRPr="007F6412" w:rsidRDefault="00AC7B25" w:rsidP="007F6412">
            <w:pPr>
              <w:pStyle w:val="ListParagraph"/>
              <w:numPr>
                <w:ilvl w:val="0"/>
                <w:numId w:val="9"/>
              </w:numPr>
              <w:spacing w:before="240" w:line="240" w:lineRule="auto"/>
              <w:contextualSpacing w:val="0"/>
            </w:pPr>
            <w:r w:rsidRPr="007F6412">
              <w:t>Case series, case reports, conference abstracts, non-English articles, reviews, viewpoints, or editorials</w:t>
            </w:r>
          </w:p>
          <w:p w14:paraId="6E33B1E4" w14:textId="19D98B9E" w:rsidR="00434315" w:rsidRPr="007F6412" w:rsidRDefault="00030ED4" w:rsidP="007F6412">
            <w:pPr>
              <w:pStyle w:val="ListParagraph"/>
              <w:numPr>
                <w:ilvl w:val="0"/>
                <w:numId w:val="7"/>
              </w:numPr>
              <w:spacing w:before="240" w:line="240" w:lineRule="auto"/>
              <w:contextualSpacing w:val="0"/>
            </w:pPr>
            <w:r w:rsidRPr="007F6412">
              <w:t>S</w:t>
            </w:r>
            <w:r w:rsidRPr="007F6412">
              <w:t>tudies not reporting raw prognostic data or reporting raw data not appropriate for synthesis</w:t>
            </w:r>
          </w:p>
          <w:p w14:paraId="41186415" w14:textId="12AFC603" w:rsidR="00030ED4" w:rsidRPr="007F6412" w:rsidRDefault="00030ED4" w:rsidP="007F6412">
            <w:pPr>
              <w:pStyle w:val="ListParagraph"/>
              <w:numPr>
                <w:ilvl w:val="0"/>
                <w:numId w:val="7"/>
              </w:numPr>
              <w:spacing w:before="240" w:line="240" w:lineRule="auto"/>
              <w:contextualSpacing w:val="0"/>
            </w:pPr>
            <w:r w:rsidRPr="007F6412">
              <w:t>S</w:t>
            </w:r>
            <w:r w:rsidRPr="007F6412">
              <w:t>tudies not including a control group for comparison with the DOACs group, leading to inability to synthesize odds ratios</w:t>
            </w:r>
            <w:r w:rsidRPr="007F6412">
              <w:t xml:space="preserve"> (OR) and confidence intervals (CI)</w:t>
            </w:r>
          </w:p>
          <w:p w14:paraId="65C4F0FF" w14:textId="14772534" w:rsidR="00030ED4" w:rsidRPr="007F6412" w:rsidRDefault="00030ED4" w:rsidP="007F6412">
            <w:pPr>
              <w:pStyle w:val="ListParagraph"/>
              <w:numPr>
                <w:ilvl w:val="0"/>
                <w:numId w:val="7"/>
              </w:numPr>
              <w:spacing w:before="240" w:line="240" w:lineRule="auto"/>
              <w:contextualSpacing w:val="0"/>
            </w:pPr>
            <w:r w:rsidRPr="007F6412">
              <w:t>S</w:t>
            </w:r>
            <w:r w:rsidRPr="007F6412">
              <w:t>tudies investigating anticoagulants other than the pre-specified</w:t>
            </w:r>
          </w:p>
          <w:p w14:paraId="30F9F264" w14:textId="1D7AC32C" w:rsidR="00030ED4" w:rsidRPr="007F6412" w:rsidRDefault="00030ED4" w:rsidP="007F6412">
            <w:pPr>
              <w:pStyle w:val="ListParagraph"/>
              <w:numPr>
                <w:ilvl w:val="0"/>
                <w:numId w:val="7"/>
              </w:numPr>
              <w:spacing w:before="240" w:line="240" w:lineRule="auto"/>
              <w:contextualSpacing w:val="0"/>
            </w:pPr>
            <w:r w:rsidRPr="007F6412">
              <w:t>N</w:t>
            </w:r>
            <w:r w:rsidRPr="007F6412">
              <w:t>onhuman studies</w:t>
            </w:r>
          </w:p>
        </w:tc>
      </w:tr>
      <w:tr w:rsidR="00434315" w:rsidRPr="007F6412" w14:paraId="75CD8AEC" w14:textId="77777777" w:rsidTr="002B095B">
        <w:trPr>
          <w:trHeight w:val="345"/>
        </w:trPr>
        <w:tc>
          <w:tcPr>
            <w:tcW w:w="944" w:type="pct"/>
            <w:tcBorders>
              <w:top w:val="single" w:sz="6" w:space="0" w:color="auto"/>
              <w:left w:val="single" w:sz="6" w:space="0" w:color="auto"/>
              <w:bottom w:val="single" w:sz="6" w:space="0" w:color="auto"/>
              <w:right w:val="single" w:sz="6" w:space="0" w:color="auto"/>
            </w:tcBorders>
            <w:hideMark/>
          </w:tcPr>
          <w:p w14:paraId="1E4A9567" w14:textId="27BCBC38"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Primary Outcome</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253177CC" w14:textId="6A44B530" w:rsidR="00434315" w:rsidRPr="007F6412" w:rsidRDefault="00E8069D" w:rsidP="007F6412">
            <w:pPr>
              <w:tabs>
                <w:tab w:val="left" w:pos="432"/>
              </w:tabs>
              <w:spacing w:before="240" w:line="240" w:lineRule="auto"/>
              <w:rPr>
                <w:rFonts w:eastAsia="Times New Roman" w:cs="Arial"/>
              </w:rPr>
            </w:pPr>
            <w:r w:rsidRPr="007F6412">
              <w:t>I</w:t>
            </w:r>
            <w:r w:rsidRPr="007F6412">
              <w:t xml:space="preserve">maging-confirmed </w:t>
            </w:r>
            <w:r w:rsidRPr="007F6412">
              <w:t>LVT</w:t>
            </w:r>
            <w:r w:rsidRPr="007F6412">
              <w:t xml:space="preserve"> resolution</w:t>
            </w:r>
            <w:r w:rsidRPr="007F6412">
              <w:t xml:space="preserve"> </w:t>
            </w:r>
            <w:r w:rsidRPr="007F6412">
              <w:t>with additional co–primary endpoints including the occurrence of systemic embolism (stroke, peripheral, or visceral events) and major bleeding</w:t>
            </w:r>
            <w:r w:rsidRPr="007F6412">
              <w:t>.</w:t>
            </w:r>
          </w:p>
        </w:tc>
      </w:tr>
      <w:tr w:rsidR="00434315" w:rsidRPr="007F6412" w14:paraId="732A8F18"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69577A51" w14:textId="0E8D8637"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lastRenderedPageBreak/>
              <w:t>Protocol</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7C4ABC14" w14:textId="7BA90374" w:rsidR="00434315" w:rsidRPr="007F6412" w:rsidRDefault="00991119" w:rsidP="007F6412">
            <w:pPr>
              <w:tabs>
                <w:tab w:val="left" w:pos="2901"/>
              </w:tabs>
              <w:spacing w:before="240" w:line="240" w:lineRule="auto"/>
              <w:rPr>
                <w:rFonts w:eastAsia="Times New Roman" w:cs="Arial"/>
              </w:rPr>
            </w:pPr>
            <w:r w:rsidRPr="007F6412">
              <w:fldChar w:fldCharType="begin"/>
            </w:r>
            <w:r w:rsidRPr="007F6412">
              <w:instrText xml:space="preserve"> INCLUDEPICTURE "https://ars.els-cdn.com/content/image/1-s2.0-S0002914924006866-gr1_lrg.jpg" \* MERGEFORMATINET </w:instrText>
            </w:r>
            <w:r w:rsidRPr="007F6412">
              <w:fldChar w:fldCharType="separate"/>
            </w:r>
            <w:r w:rsidRPr="007F6412">
              <w:rPr>
                <w:noProof/>
              </w:rPr>
              <w:drawing>
                <wp:inline distT="0" distB="0" distL="0" distR="0" wp14:anchorId="2F0B5821" wp14:editId="762034AF">
                  <wp:extent cx="5943600" cy="5370830"/>
                  <wp:effectExtent l="0" t="0" r="0" b="1270"/>
                  <wp:docPr id="507408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370830"/>
                          </a:xfrm>
                          <a:prstGeom prst="rect">
                            <a:avLst/>
                          </a:prstGeom>
                          <a:noFill/>
                          <a:ln>
                            <a:noFill/>
                          </a:ln>
                        </pic:spPr>
                      </pic:pic>
                    </a:graphicData>
                  </a:graphic>
                </wp:inline>
              </w:drawing>
            </w:r>
            <w:r w:rsidRPr="007F6412">
              <w:fldChar w:fldCharType="end"/>
            </w:r>
          </w:p>
          <w:p w14:paraId="5A1E3909" w14:textId="00E5F7C1" w:rsidR="00434315" w:rsidRPr="007F6412" w:rsidRDefault="00434315" w:rsidP="007F6412">
            <w:pPr>
              <w:tabs>
                <w:tab w:val="left" w:pos="2901"/>
              </w:tabs>
              <w:spacing w:before="240" w:line="240" w:lineRule="auto"/>
              <w:rPr>
                <w:rFonts w:eastAsia="Times New Roman" w:cs="Arial"/>
              </w:rPr>
            </w:pPr>
          </w:p>
          <w:p w14:paraId="547EEC27" w14:textId="210D2086" w:rsidR="00434315" w:rsidRPr="007F6412" w:rsidRDefault="00434315" w:rsidP="007F6412">
            <w:pPr>
              <w:tabs>
                <w:tab w:val="left" w:pos="2901"/>
              </w:tabs>
              <w:spacing w:before="240" w:line="240" w:lineRule="auto"/>
              <w:rPr>
                <w:rFonts w:eastAsia="Times New Roman" w:cs="Arial"/>
              </w:rPr>
            </w:pPr>
          </w:p>
          <w:p w14:paraId="243684DD" w14:textId="77777777" w:rsidR="00434315" w:rsidRPr="007F6412" w:rsidRDefault="00434315" w:rsidP="007F6412">
            <w:pPr>
              <w:tabs>
                <w:tab w:val="left" w:pos="432"/>
              </w:tabs>
              <w:spacing w:before="240" w:line="240" w:lineRule="auto"/>
              <w:rPr>
                <w:rFonts w:eastAsia="Times New Roman" w:cs="Arial"/>
              </w:rPr>
            </w:pPr>
          </w:p>
          <w:p w14:paraId="5A93CCF4" w14:textId="77777777" w:rsidR="00434315" w:rsidRPr="007F6412" w:rsidRDefault="00434315" w:rsidP="007F6412">
            <w:pPr>
              <w:tabs>
                <w:tab w:val="left" w:pos="432"/>
              </w:tabs>
              <w:spacing w:before="240" w:line="240" w:lineRule="auto"/>
              <w:rPr>
                <w:rFonts w:eastAsia="Times New Roman" w:cs="Arial"/>
              </w:rPr>
            </w:pPr>
          </w:p>
        </w:tc>
      </w:tr>
      <w:tr w:rsidR="00434315" w:rsidRPr="007F6412" w14:paraId="62532751"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42C07F7C" w14:textId="23A5812F" w:rsidR="00434315" w:rsidRPr="00101C76" w:rsidRDefault="00434315" w:rsidP="007F6412">
            <w:pPr>
              <w:spacing w:before="240" w:line="240" w:lineRule="auto"/>
              <w:rPr>
                <w:rFonts w:eastAsia="Times New Roman" w:cs="Arial"/>
                <w:b/>
                <w:vertAlign w:val="superscript"/>
              </w:rPr>
            </w:pPr>
            <w:r w:rsidRPr="007F6412">
              <w:rPr>
                <w:rFonts w:eastAsia="Times New Roman" w:cs="Arial"/>
                <w:b/>
              </w:rPr>
              <w:t>Monitoring</w:t>
            </w:r>
            <w:r w:rsidR="00101C76">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3F8EBF71" w14:textId="7E03CF70" w:rsidR="00434315" w:rsidRPr="007F6412" w:rsidRDefault="00D52608" w:rsidP="007F6412">
            <w:pPr>
              <w:tabs>
                <w:tab w:val="left" w:pos="432"/>
              </w:tabs>
              <w:spacing w:before="240" w:line="240" w:lineRule="auto"/>
              <w:rPr>
                <w:rFonts w:eastAsia="Times New Roman" w:cs="Arial"/>
              </w:rPr>
            </w:pPr>
            <w:r w:rsidRPr="007F6412">
              <w:t>All</w:t>
            </w:r>
            <w:r w:rsidR="00E8069D" w:rsidRPr="007F6412">
              <w:t xml:space="preserve"> studies followed patients for at least 3 months, some extending to </w:t>
            </w:r>
            <w:r w:rsidR="005C06C5" w:rsidRPr="007F6412">
              <w:t>24</w:t>
            </w:r>
            <w:r w:rsidR="00E8069D" w:rsidRPr="007F6412">
              <w:t xml:space="preserve"> months, with imaging repeated at intervals to guide treatment duration and decision-making regarding cessation or continuation of anticoagulation</w:t>
            </w:r>
          </w:p>
        </w:tc>
      </w:tr>
      <w:tr w:rsidR="00434315" w:rsidRPr="007F6412" w14:paraId="0182FD27" w14:textId="77777777" w:rsidTr="002B095B">
        <w:trPr>
          <w:trHeight w:val="345"/>
        </w:trPr>
        <w:tc>
          <w:tcPr>
            <w:tcW w:w="944" w:type="pct"/>
            <w:tcBorders>
              <w:top w:val="single" w:sz="6" w:space="0" w:color="auto"/>
              <w:left w:val="single" w:sz="6" w:space="0" w:color="auto"/>
              <w:bottom w:val="single" w:sz="6" w:space="0" w:color="auto"/>
              <w:right w:val="single" w:sz="6" w:space="0" w:color="auto"/>
            </w:tcBorders>
            <w:hideMark/>
          </w:tcPr>
          <w:p w14:paraId="2B184364" w14:textId="1F599DA6" w:rsidR="00434315" w:rsidRPr="00101C76" w:rsidRDefault="00434315" w:rsidP="007F6412">
            <w:pPr>
              <w:spacing w:before="240" w:line="240" w:lineRule="auto"/>
              <w:rPr>
                <w:rFonts w:eastAsia="Times New Roman" w:cs="Arial"/>
                <w:b/>
                <w:vertAlign w:val="superscript"/>
              </w:rPr>
            </w:pPr>
            <w:r w:rsidRPr="007F6412">
              <w:rPr>
                <w:rFonts w:eastAsia="Times New Roman" w:cs="Arial"/>
                <w:b/>
              </w:rPr>
              <w:t>Statistical Analysis</w:t>
            </w:r>
            <w:r w:rsidR="00101C76">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1701BB71" w14:textId="2A15D3AD" w:rsidR="005C06C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t>The meta-analysis primarily used OR or relative risks (RR) with 95% CI as the measures of effect for the primary outcomes</w:t>
            </w:r>
          </w:p>
          <w:p w14:paraId="6696F025" w14:textId="22665197" w:rsidR="001C206C"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lastRenderedPageBreak/>
              <w:t xml:space="preserve">A </w:t>
            </w:r>
            <w:r w:rsidRPr="007F6412">
              <w:rPr>
                <w:b/>
                <w:bCs/>
              </w:rPr>
              <w:t>random-effects model</w:t>
            </w:r>
            <w:r w:rsidRPr="007F6412">
              <w:t xml:space="preserve"> was applied to account for variability across studies, acknowledging clinical and methodological heterogeneity</w:t>
            </w:r>
          </w:p>
          <w:p w14:paraId="3F0F5401" w14:textId="4A54DB1B" w:rsidR="005C06C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t xml:space="preserve">The degree of heterogeneity among included studies was assessed using the </w:t>
            </w:r>
            <w:r w:rsidRPr="007F6412">
              <w:rPr>
                <w:b/>
                <w:bCs/>
              </w:rPr>
              <w:t>I² statistic</w:t>
            </w:r>
          </w:p>
          <w:p w14:paraId="0E4FE0F1" w14:textId="34667F10" w:rsidR="0043431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rPr>
                <w:b/>
                <w:bCs/>
              </w:rPr>
              <w:t>Publication bias</w:t>
            </w:r>
            <w:r w:rsidRPr="007F6412">
              <w:t xml:space="preserve"> was assessed through funnel plots and formal statistical testing using Egger's regression test. The results generally showed no significant publication bias for key outcomes like LVT resolution, stroke, systemic embolism, or bleeding events</w:t>
            </w:r>
          </w:p>
          <w:p w14:paraId="3C28515B" w14:textId="5B256400" w:rsidR="005C06C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rPr>
                <w:b/>
                <w:bCs/>
              </w:rPr>
              <w:t>Study quality</w:t>
            </w:r>
            <w:r w:rsidRPr="007F6412">
              <w:t xml:space="preserve"> and </w:t>
            </w:r>
            <w:r w:rsidRPr="007F6412">
              <w:rPr>
                <w:b/>
                <w:bCs/>
              </w:rPr>
              <w:t>bias risk</w:t>
            </w:r>
            <w:r w:rsidRPr="007F6412">
              <w:t xml:space="preserve"> were evaluated using validated scales such as QUIPS (Quality in Prognosis Studies) and the GRADE approach for the overall evidence certainty. Most studies were moderate quality with some confounding risk noted in observational data</w:t>
            </w:r>
          </w:p>
          <w:p w14:paraId="2891EECD" w14:textId="447A3003" w:rsidR="009A2E45" w:rsidRPr="007F6412" w:rsidRDefault="009A2E45" w:rsidP="007F6412">
            <w:pPr>
              <w:pStyle w:val="ListParagraph"/>
              <w:numPr>
                <w:ilvl w:val="0"/>
                <w:numId w:val="8"/>
              </w:numPr>
              <w:tabs>
                <w:tab w:val="left" w:pos="40"/>
              </w:tabs>
              <w:spacing w:before="240" w:line="240" w:lineRule="auto"/>
              <w:contextualSpacing w:val="0"/>
              <w:rPr>
                <w:rFonts w:eastAsia="Times New Roman" w:cs="Arial"/>
              </w:rPr>
            </w:pPr>
            <w:r w:rsidRPr="007F6412">
              <w:t xml:space="preserve">For outcomes with zero events in some studies, </w:t>
            </w:r>
            <w:r w:rsidRPr="007F6412">
              <w:rPr>
                <w:b/>
                <w:bCs/>
              </w:rPr>
              <w:t>risk difference</w:t>
            </w:r>
            <w:r w:rsidRPr="007F6412">
              <w:t xml:space="preserve"> rather than relative risk was used to prevent distortion of effect sizes</w:t>
            </w:r>
          </w:p>
        </w:tc>
      </w:tr>
      <w:tr w:rsidR="00434315" w:rsidRPr="007F6412" w14:paraId="5AFFFA46"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hideMark/>
          </w:tcPr>
          <w:p w14:paraId="19368102" w14:textId="77777777" w:rsidR="00434315" w:rsidRPr="007F6412" w:rsidRDefault="00434315" w:rsidP="007F6412">
            <w:pPr>
              <w:keepNext/>
              <w:tabs>
                <w:tab w:val="left" w:pos="-1440"/>
                <w:tab w:val="left" w:pos="1080"/>
              </w:tabs>
              <w:spacing w:before="240" w:line="240" w:lineRule="auto"/>
              <w:ind w:left="1350" w:hanging="1350"/>
              <w:outlineLvl w:val="2"/>
              <w:rPr>
                <w:rFonts w:eastAsia="Times New Roman" w:cs="Arial"/>
                <w:b/>
                <w:bCs/>
                <w:color w:val="FFFFFF"/>
              </w:rPr>
            </w:pPr>
            <w:r w:rsidRPr="007F6412">
              <w:rPr>
                <w:rFonts w:eastAsia="Times New Roman" w:cs="Arial"/>
                <w:b/>
                <w:bCs/>
                <w:color w:val="000000"/>
                <w:highlight w:val="black"/>
              </w:rPr>
              <w:lastRenderedPageBreak/>
              <w:t>Method</w:t>
            </w:r>
          </w:p>
        </w:tc>
      </w:tr>
      <w:tr w:rsidR="00434315" w:rsidRPr="007F6412" w14:paraId="61465863" w14:textId="77777777" w:rsidTr="002B095B">
        <w:trPr>
          <w:trHeight w:val="150"/>
        </w:trPr>
        <w:tc>
          <w:tcPr>
            <w:tcW w:w="5000" w:type="pct"/>
            <w:gridSpan w:val="2"/>
            <w:tcBorders>
              <w:top w:val="single" w:sz="6" w:space="0" w:color="auto"/>
              <w:left w:val="single" w:sz="6" w:space="0" w:color="auto"/>
              <w:bottom w:val="single" w:sz="6" w:space="0" w:color="auto"/>
              <w:right w:val="single" w:sz="6" w:space="0" w:color="auto"/>
            </w:tcBorders>
            <w:hideMark/>
          </w:tcPr>
          <w:p w14:paraId="29313EE3" w14:textId="10976127" w:rsidR="00434315" w:rsidRPr="007F6412" w:rsidRDefault="00434315" w:rsidP="007F6412">
            <w:pPr>
              <w:keepNext/>
              <w:tabs>
                <w:tab w:val="left" w:pos="-1209"/>
                <w:tab w:val="left" w:pos="-720"/>
                <w:tab w:val="left" w:pos="1080"/>
              </w:tabs>
              <w:spacing w:before="240" w:line="240" w:lineRule="auto"/>
              <w:ind w:left="1080" w:hanging="1080"/>
              <w:outlineLvl w:val="1"/>
              <w:rPr>
                <w:rFonts w:eastAsia="Times New Roman" w:cs="Arial"/>
                <w:b/>
                <w:bCs/>
                <w:color w:val="000000"/>
                <w:vertAlign w:val="superscript"/>
              </w:rPr>
            </w:pPr>
            <w:r w:rsidRPr="007F6412">
              <w:rPr>
                <w:rFonts w:eastAsia="Times New Roman" w:cs="Arial"/>
                <w:b/>
                <w:bCs/>
                <w:color w:val="000000"/>
              </w:rPr>
              <w:t>RESULTS</w:t>
            </w:r>
          </w:p>
        </w:tc>
      </w:tr>
      <w:tr w:rsidR="00434315" w:rsidRPr="007F6412" w14:paraId="4001D0B5"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62B9CA92" w14:textId="355F44C8" w:rsidR="00434315" w:rsidRPr="0079113D" w:rsidRDefault="00434315" w:rsidP="007F6412">
            <w:pPr>
              <w:tabs>
                <w:tab w:val="left" w:pos="432"/>
              </w:tabs>
              <w:spacing w:before="240" w:line="240" w:lineRule="auto"/>
              <w:rPr>
                <w:rFonts w:eastAsia="Times New Roman" w:cs="Arial"/>
                <w:b/>
                <w:vertAlign w:val="superscript"/>
              </w:rPr>
            </w:pPr>
            <w:r w:rsidRPr="007F6412">
              <w:rPr>
                <w:rFonts w:eastAsia="Times New Roman" w:cs="Arial"/>
                <w:b/>
              </w:rPr>
              <w:t>Baseline Characteristics</w:t>
            </w:r>
            <w:r w:rsidR="0079113D">
              <w:rPr>
                <w:rFonts w:eastAsia="Times New Roman" w:cs="Arial"/>
                <w:b/>
                <w:vertAlign w:val="superscript"/>
              </w:rPr>
              <w:t>1</w:t>
            </w:r>
            <w:r w:rsidR="00F36D08">
              <w:rPr>
                <w:rFonts w:eastAsia="Times New Roman" w:cs="Arial"/>
                <w:b/>
                <w:vertAlign w:val="superscript"/>
              </w:rPr>
              <w:t>,3</w:t>
            </w:r>
          </w:p>
        </w:tc>
        <w:tc>
          <w:tcPr>
            <w:tcW w:w="4056" w:type="pct"/>
            <w:tcBorders>
              <w:top w:val="single" w:sz="6" w:space="0" w:color="auto"/>
              <w:left w:val="single" w:sz="6" w:space="0" w:color="auto"/>
              <w:bottom w:val="single" w:sz="6" w:space="0" w:color="auto"/>
              <w:right w:val="single" w:sz="6" w:space="0" w:color="auto"/>
            </w:tcBorders>
          </w:tcPr>
          <w:p w14:paraId="02CE50E3" w14:textId="5292BFD7" w:rsidR="009A2E45" w:rsidRPr="007F6412" w:rsidRDefault="007F6412" w:rsidP="007F6412">
            <w:pPr>
              <w:tabs>
                <w:tab w:val="left" w:pos="432"/>
              </w:tabs>
              <w:spacing w:before="240" w:line="240" w:lineRule="auto"/>
              <w:rPr>
                <w:rFonts w:eastAsia="Times New Roman" w:cs="Arial"/>
              </w:rPr>
            </w:pPr>
            <w:r w:rsidRPr="007F6412">
              <w:rPr>
                <w:rFonts w:eastAsia="Times New Roman" w:cs="Arial"/>
                <w:noProof/>
                <w14:ligatures w14:val="standardContextual"/>
              </w:rPr>
              <mc:AlternateContent>
                <mc:Choice Requires="wps">
                  <w:drawing>
                    <wp:anchor distT="0" distB="0" distL="114300" distR="114300" simplePos="0" relativeHeight="251664384" behindDoc="0" locked="0" layoutInCell="1" allowOverlap="1" wp14:anchorId="0C79B52B" wp14:editId="52D84D9E">
                      <wp:simplePos x="0" y="0"/>
                      <wp:positionH relativeFrom="column">
                        <wp:posOffset>3243094</wp:posOffset>
                      </wp:positionH>
                      <wp:positionV relativeFrom="paragraph">
                        <wp:posOffset>150765</wp:posOffset>
                      </wp:positionV>
                      <wp:extent cx="2044820" cy="493927"/>
                      <wp:effectExtent l="12700" t="12700" r="25400" b="27305"/>
                      <wp:wrapNone/>
                      <wp:docPr id="1929464425" name="Rectangle 11"/>
                      <wp:cNvGraphicFramePr/>
                      <a:graphic xmlns:a="http://schemas.openxmlformats.org/drawingml/2006/main">
                        <a:graphicData uri="http://schemas.microsoft.com/office/word/2010/wordprocessingShape">
                          <wps:wsp>
                            <wps:cNvSpPr/>
                            <wps:spPr>
                              <a:xfrm>
                                <a:off x="0" y="0"/>
                                <a:ext cx="2044820" cy="493927"/>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E0C4F" id="Rectangle 11" o:spid="_x0000_s1026" style="position:absolute;margin-left:255.35pt;margin-top:11.85pt;width:161pt;height:3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" filled="f" strokecolor="#e00" strokeweight="3pt"/>
                  </w:pict>
                </mc:Fallback>
              </mc:AlternateContent>
            </w:r>
            <w:r w:rsidRPr="007F6412">
              <w:rPr>
                <w:rFonts w:eastAsia="Times New Roman" w:cs="Arial"/>
                <w:noProof/>
                <w14:ligatures w14:val="standardContextual"/>
              </w:rPr>
              <mc:AlternateContent>
                <mc:Choice Requires="wps">
                  <w:drawing>
                    <wp:anchor distT="0" distB="0" distL="114300" distR="114300" simplePos="0" relativeHeight="251660288" behindDoc="0" locked="0" layoutInCell="1" allowOverlap="1" wp14:anchorId="4727095B" wp14:editId="586EC815">
                      <wp:simplePos x="0" y="0"/>
                      <wp:positionH relativeFrom="column">
                        <wp:posOffset>909833</wp:posOffset>
                      </wp:positionH>
                      <wp:positionV relativeFrom="paragraph">
                        <wp:posOffset>3180823</wp:posOffset>
                      </wp:positionV>
                      <wp:extent cx="555625" cy="1544252"/>
                      <wp:effectExtent l="12700" t="12700" r="28575" b="31115"/>
                      <wp:wrapNone/>
                      <wp:docPr id="238344720" name="Rectangle 11"/>
                      <wp:cNvGraphicFramePr/>
                      <a:graphic xmlns:a="http://schemas.openxmlformats.org/drawingml/2006/main">
                        <a:graphicData uri="http://schemas.microsoft.com/office/word/2010/wordprocessingShape">
                          <wps:wsp>
                            <wps:cNvSpPr/>
                            <wps:spPr>
                              <a:xfrm>
                                <a:off x="0" y="0"/>
                                <a:ext cx="555625" cy="154425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E3168" id="Rectangle 11" o:spid="_x0000_s1026" style="position:absolute;margin-left:71.65pt;margin-top:250.45pt;width:43.75pt;height:1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" filled="f" strokecolor="#e00" strokeweight="3pt"/>
                  </w:pict>
                </mc:Fallback>
              </mc:AlternateContent>
            </w:r>
            <w:r w:rsidR="00EF00F8" w:rsidRPr="007F6412">
              <w:rPr>
                <w:rFonts w:eastAsia="Times New Roman" w:cs="Arial"/>
                <w:noProof/>
                <w14:ligatures w14:val="standardContextual"/>
              </w:rPr>
              <mc:AlternateContent>
                <mc:Choice Requires="wps">
                  <w:drawing>
                    <wp:anchor distT="0" distB="0" distL="114300" distR="114300" simplePos="0" relativeHeight="251662336" behindDoc="0" locked="0" layoutInCell="1" allowOverlap="1" wp14:anchorId="4405FF40" wp14:editId="4D07AAED">
                      <wp:simplePos x="0" y="0"/>
                      <wp:positionH relativeFrom="column">
                        <wp:posOffset>2854325</wp:posOffset>
                      </wp:positionH>
                      <wp:positionV relativeFrom="paragraph">
                        <wp:posOffset>643350</wp:posOffset>
                      </wp:positionV>
                      <wp:extent cx="389169" cy="4077387"/>
                      <wp:effectExtent l="12700" t="12700" r="30480" b="24765"/>
                      <wp:wrapNone/>
                      <wp:docPr id="2110355165" name="Rectangle 11"/>
                      <wp:cNvGraphicFramePr/>
                      <a:graphic xmlns:a="http://schemas.openxmlformats.org/drawingml/2006/main">
                        <a:graphicData uri="http://schemas.microsoft.com/office/word/2010/wordprocessingShape">
                          <wps:wsp>
                            <wps:cNvSpPr/>
                            <wps:spPr>
                              <a:xfrm>
                                <a:off x="0" y="0"/>
                                <a:ext cx="389169" cy="4077387"/>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957AD" id="Rectangle 11" o:spid="_x0000_s1026" style="position:absolute;margin-left:224.75pt;margin-top:50.65pt;width:30.65pt;height:3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" filled="f" strokecolor="#e00" strokeweight="3pt"/>
                  </w:pict>
                </mc:Fallback>
              </mc:AlternateContent>
            </w:r>
            <w:r w:rsidR="00EF00F8" w:rsidRPr="007F6412">
              <w:rPr>
                <w:rFonts w:eastAsia="Times New Roman" w:cs="Arial"/>
                <w:noProof/>
                <w14:ligatures w14:val="standardContextual"/>
              </w:rPr>
              <w:drawing>
                <wp:inline distT="0" distB="0" distL="0" distR="0" wp14:anchorId="7C00E297" wp14:editId="36EF770D">
                  <wp:extent cx="5943600" cy="4572000"/>
                  <wp:effectExtent l="0" t="0" r="0" b="0"/>
                  <wp:docPr id="753311170" name="Picture 9"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11170" name="Picture 9" descr="A white sheet with black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tc>
      </w:tr>
    </w:tbl>
    <w:p w14:paraId="20B08B19" w14:textId="534DB70B" w:rsidR="00434315" w:rsidRDefault="00434315" w:rsidP="00434315"/>
    <w:tbl>
      <w:tblPr>
        <w:tblW w:w="6317" w:type="pct"/>
        <w:tblInd w:w="-11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54"/>
        <w:gridCol w:w="9576"/>
      </w:tblGrid>
      <w:tr w:rsidR="00434315" w:rsidRPr="007F6412" w14:paraId="12C521E8" w14:textId="77777777" w:rsidTr="009A2E45">
        <w:trPr>
          <w:trHeight w:val="5295"/>
        </w:trPr>
        <w:tc>
          <w:tcPr>
            <w:tcW w:w="941" w:type="pct"/>
            <w:tcBorders>
              <w:top w:val="single" w:sz="6" w:space="0" w:color="auto"/>
              <w:left w:val="single" w:sz="6" w:space="0" w:color="auto"/>
              <w:bottom w:val="single" w:sz="6" w:space="0" w:color="auto"/>
              <w:right w:val="single" w:sz="6" w:space="0" w:color="auto"/>
            </w:tcBorders>
          </w:tcPr>
          <w:p w14:paraId="2A269861" w14:textId="2D73979E" w:rsidR="00434315" w:rsidRPr="0079113D" w:rsidRDefault="00434315" w:rsidP="007F6412">
            <w:pPr>
              <w:spacing w:before="240" w:line="240" w:lineRule="auto"/>
              <w:rPr>
                <w:rFonts w:eastAsia="Times New Roman" w:cs="Arial"/>
                <w:b/>
                <w:vertAlign w:val="superscript"/>
              </w:rPr>
            </w:pPr>
            <w:r w:rsidRPr="007F6412">
              <w:rPr>
                <w:rFonts w:eastAsia="Times New Roman" w:cs="Arial"/>
                <w:b/>
              </w:rPr>
              <w:lastRenderedPageBreak/>
              <w:t>Outcome</w:t>
            </w:r>
            <w:r w:rsidR="0079113D">
              <w:rPr>
                <w:rFonts w:eastAsia="Times New Roman" w:cs="Arial"/>
                <w:b/>
                <w:vertAlign w:val="superscript"/>
              </w:rPr>
              <w:t>1</w:t>
            </w:r>
          </w:p>
          <w:p w14:paraId="25B09742" w14:textId="77777777" w:rsidR="00434315" w:rsidRPr="007F6412" w:rsidRDefault="00434315" w:rsidP="007F6412">
            <w:pPr>
              <w:spacing w:before="240" w:line="240" w:lineRule="auto"/>
              <w:rPr>
                <w:rFonts w:eastAsia="Times New Roman" w:cs="Arial"/>
                <w:b/>
              </w:rPr>
            </w:pPr>
          </w:p>
          <w:p w14:paraId="02A7868A" w14:textId="2A82E3D2" w:rsidR="00434315" w:rsidRPr="007F6412" w:rsidRDefault="00434315" w:rsidP="007F6412">
            <w:pPr>
              <w:spacing w:before="240" w:line="240" w:lineRule="auto"/>
              <w:rPr>
                <w:rFonts w:eastAsia="Times New Roman" w:cs="Arial"/>
                <w:b/>
              </w:rPr>
            </w:pPr>
          </w:p>
          <w:p w14:paraId="6FE0FB27" w14:textId="09C30A78" w:rsidR="00434315" w:rsidRPr="007F6412" w:rsidRDefault="00434315" w:rsidP="007F6412">
            <w:pPr>
              <w:spacing w:before="240" w:line="240" w:lineRule="auto"/>
              <w:rPr>
                <w:rFonts w:eastAsia="Times New Roman" w:cs="Arial"/>
                <w:b/>
              </w:rPr>
            </w:pPr>
          </w:p>
        </w:tc>
        <w:tc>
          <w:tcPr>
            <w:tcW w:w="4059" w:type="pct"/>
            <w:tcBorders>
              <w:top w:val="single" w:sz="6" w:space="0" w:color="auto"/>
              <w:left w:val="single" w:sz="6" w:space="0" w:color="auto"/>
              <w:bottom w:val="single" w:sz="6" w:space="0" w:color="auto"/>
              <w:right w:val="single" w:sz="6" w:space="0" w:color="auto"/>
            </w:tcBorders>
          </w:tcPr>
          <w:p w14:paraId="06695A98" w14:textId="1A754F93" w:rsidR="00434315" w:rsidRPr="007F6412" w:rsidRDefault="00E649E5" w:rsidP="007F6412">
            <w:pPr>
              <w:spacing w:before="240" w:line="240" w:lineRule="auto"/>
              <w:rPr>
                <w:rFonts w:eastAsia="Times New Roman" w:cs="Arial"/>
              </w:rPr>
            </w:pPr>
            <w:r>
              <w:rPr>
                <w:rFonts w:eastAsia="Times New Roman" w:cs="Arial"/>
                <w:noProof/>
                <w14:ligatures w14:val="standardContextual"/>
              </w:rPr>
              <mc:AlternateContent>
                <mc:Choice Requires="wps">
                  <w:drawing>
                    <wp:anchor distT="0" distB="0" distL="114300" distR="114300" simplePos="0" relativeHeight="251692032" behindDoc="0" locked="0" layoutInCell="1" allowOverlap="1" wp14:anchorId="58FDFCFE" wp14:editId="12451BE2">
                      <wp:simplePos x="0" y="0"/>
                      <wp:positionH relativeFrom="column">
                        <wp:posOffset>2034003</wp:posOffset>
                      </wp:positionH>
                      <wp:positionV relativeFrom="paragraph">
                        <wp:posOffset>1783715</wp:posOffset>
                      </wp:positionV>
                      <wp:extent cx="1955018" cy="450166"/>
                      <wp:effectExtent l="0" t="0" r="1270" b="0"/>
                      <wp:wrapNone/>
                      <wp:docPr id="1533185583" name="Text Box 15"/>
                      <wp:cNvGraphicFramePr/>
                      <a:graphic xmlns:a="http://schemas.openxmlformats.org/drawingml/2006/main">
                        <a:graphicData uri="http://schemas.microsoft.com/office/word/2010/wordprocessingShape">
                          <wps:wsp>
                            <wps:cNvSpPr txBox="1"/>
                            <wps:spPr>
                              <a:xfrm>
                                <a:off x="0" y="0"/>
                                <a:ext cx="1955018" cy="450166"/>
                              </a:xfrm>
                              <a:prstGeom prst="rect">
                                <a:avLst/>
                              </a:prstGeom>
                              <a:solidFill>
                                <a:schemeClr val="lt1"/>
                              </a:solidFill>
                              <a:ln w="6350">
                                <a:noFill/>
                              </a:ln>
                            </wps:spPr>
                            <wps:txbx>
                              <w:txbxContent>
                                <w:p w14:paraId="5143C3E7" w14:textId="0A2BB4D9" w:rsidR="00E649E5" w:rsidRPr="00E649E5" w:rsidRDefault="00E649E5" w:rsidP="00E649E5">
                                  <w:pPr>
                                    <w:rPr>
                                      <w:color w:val="EE0000"/>
                                    </w:rPr>
                                  </w:pPr>
                                  <w:r w:rsidRPr="00E649E5">
                                    <w:rPr>
                                      <w:color w:val="EE0000"/>
                                    </w:rPr>
                                    <w:t>Almost twice as likely to achieve thrombus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DFCFE" id="_x0000_t202" coordsize="21600,21600" o:spt="202" path="m,l,21600r21600,l21600,xe">
                      <v:stroke joinstyle="miter"/>
                      <v:path gradientshapeok="t" o:connecttype="rect"/>
                    </v:shapetype>
                    <v:shape id="Text Box 15" o:spid="_x0000_s1026" type="#_x0000_t202" style="position:absolute;margin-left:160.15pt;margin-top:140.45pt;width:153.95pt;height:3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" fillcolor="white [3201]" stroked="f" strokeweight=".5pt">
                      <v:textbox>
                        <w:txbxContent>
                          <w:p w14:paraId="5143C3E7" w14:textId="0A2BB4D9" w:rsidR="00E649E5" w:rsidRPr="00E649E5" w:rsidRDefault="00E649E5" w:rsidP="00E649E5">
                            <w:pPr>
                              <w:rPr>
                                <w:color w:val="EE0000"/>
                              </w:rPr>
                            </w:pPr>
                            <w:r w:rsidRPr="00E649E5">
                              <w:rPr>
                                <w:color w:val="EE0000"/>
                              </w:rPr>
                              <w:t>Almost twice as likely to achieve thrombus resolution</w:t>
                            </w:r>
                          </w:p>
                        </w:txbxContent>
                      </v:textbox>
                    </v:shape>
                  </w:pict>
                </mc:Fallback>
              </mc:AlternateContent>
            </w:r>
            <w:r w:rsidR="0025150D" w:rsidRPr="007F6412">
              <w:rPr>
                <w:rFonts w:eastAsia="Times New Roman" w:cs="Arial"/>
                <w:noProof/>
                <w14:ligatures w14:val="standardContextual"/>
              </w:rPr>
              <mc:AlternateContent>
                <mc:Choice Requires="wps">
                  <w:drawing>
                    <wp:anchor distT="0" distB="0" distL="114300" distR="114300" simplePos="0" relativeHeight="251670528" behindDoc="0" locked="0" layoutInCell="1" allowOverlap="1" wp14:anchorId="07CC71C3" wp14:editId="0E8AE00F">
                      <wp:simplePos x="0" y="0"/>
                      <wp:positionH relativeFrom="column">
                        <wp:posOffset>3235325</wp:posOffset>
                      </wp:positionH>
                      <wp:positionV relativeFrom="paragraph">
                        <wp:posOffset>3285197</wp:posOffset>
                      </wp:positionV>
                      <wp:extent cx="833607" cy="269402"/>
                      <wp:effectExtent l="12700" t="12700" r="30480" b="22860"/>
                      <wp:wrapNone/>
                      <wp:docPr id="1310540210"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1364" id="Rectangle 11" o:spid="_x0000_s1026" style="position:absolute;margin-left:254.75pt;margin-top:258.7pt;width:65.65pt;height:21.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" filled="f" strokecolor="#e00" strokeweight="3pt"/>
                  </w:pict>
                </mc:Fallback>
              </mc:AlternateContent>
            </w:r>
            <w:r w:rsidR="00F36D08">
              <w:rPr>
                <w:rFonts w:eastAsia="Times New Roman" w:cs="Arial"/>
                <w:noProof/>
                <w14:ligatures w14:val="standardContextual"/>
              </w:rPr>
              <mc:AlternateContent>
                <mc:Choice Requires="wps">
                  <w:drawing>
                    <wp:anchor distT="0" distB="0" distL="114300" distR="114300" simplePos="0" relativeHeight="251685888" behindDoc="0" locked="0" layoutInCell="1" allowOverlap="1" wp14:anchorId="4E801B2F" wp14:editId="3C4B7255">
                      <wp:simplePos x="0" y="0"/>
                      <wp:positionH relativeFrom="column">
                        <wp:posOffset>1634294</wp:posOffset>
                      </wp:positionH>
                      <wp:positionV relativeFrom="paragraph">
                        <wp:posOffset>3781230</wp:posOffset>
                      </wp:positionV>
                      <wp:extent cx="2433711" cy="264795"/>
                      <wp:effectExtent l="0" t="0" r="5080" b="1905"/>
                      <wp:wrapNone/>
                      <wp:docPr id="331513439" name="Text Box 15"/>
                      <wp:cNvGraphicFramePr/>
                      <a:graphic xmlns:a="http://schemas.openxmlformats.org/drawingml/2006/main">
                        <a:graphicData uri="http://schemas.microsoft.com/office/word/2010/wordprocessingShape">
                          <wps:wsp>
                            <wps:cNvSpPr txBox="1"/>
                            <wps:spPr>
                              <a:xfrm>
                                <a:off x="0" y="0"/>
                                <a:ext cx="2433711" cy="264795"/>
                              </a:xfrm>
                              <a:prstGeom prst="rect">
                                <a:avLst/>
                              </a:prstGeom>
                              <a:solidFill>
                                <a:schemeClr val="lt1"/>
                              </a:solidFill>
                              <a:ln w="6350">
                                <a:noFill/>
                              </a:ln>
                            </wps:spPr>
                            <wps:txbx>
                              <w:txbxContent>
                                <w:p w14:paraId="3FCBD4EE" w14:textId="04A42F5C" w:rsidR="00F36D08" w:rsidRPr="00E649E5" w:rsidRDefault="00F36D08">
                                  <w:pPr>
                                    <w:rPr>
                                      <w:color w:val="EE0000"/>
                                    </w:rPr>
                                  </w:pPr>
                                  <w:r w:rsidRPr="00E649E5">
                                    <w:rPr>
                                      <w:color w:val="EE0000"/>
                                    </w:rPr>
                                    <w:t>70% lower risk of systemic embolism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1B2F" id="_x0000_s1027" type="#_x0000_t202" style="position:absolute;margin-left:128.7pt;margin-top:297.75pt;width:191.65pt;height:2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" fillcolor="white [3201]" stroked="f" strokeweight=".5pt">
                      <v:textbox>
                        <w:txbxContent>
                          <w:p w14:paraId="3FCBD4EE" w14:textId="04A42F5C" w:rsidR="00F36D08" w:rsidRPr="00E649E5" w:rsidRDefault="00F36D08">
                            <w:pPr>
                              <w:rPr>
                                <w:color w:val="EE0000"/>
                              </w:rPr>
                            </w:pPr>
                            <w:r w:rsidRPr="00E649E5">
                              <w:rPr>
                                <w:color w:val="EE0000"/>
                              </w:rPr>
                              <w:t>70% lower risk of systemic embolism</w:t>
                            </w:r>
                          </w:p>
                        </w:txbxContent>
                      </v:textbox>
                    </v:shape>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80768" behindDoc="0" locked="0" layoutInCell="1" allowOverlap="1" wp14:anchorId="74745103" wp14:editId="3F98AC70">
                      <wp:simplePos x="0" y="0"/>
                      <wp:positionH relativeFrom="column">
                        <wp:posOffset>2020326</wp:posOffset>
                      </wp:positionH>
                      <wp:positionV relativeFrom="paragraph">
                        <wp:posOffset>3538757</wp:posOffset>
                      </wp:positionV>
                      <wp:extent cx="324925" cy="180926"/>
                      <wp:effectExtent l="12700" t="12700" r="18415" b="10160"/>
                      <wp:wrapNone/>
                      <wp:docPr id="665969227" name="Rectangle 11"/>
                      <wp:cNvGraphicFramePr/>
                      <a:graphic xmlns:a="http://schemas.openxmlformats.org/drawingml/2006/main">
                        <a:graphicData uri="http://schemas.microsoft.com/office/word/2010/wordprocessingShape">
                          <wps:wsp>
                            <wps:cNvSpPr/>
                            <wps:spPr>
                              <a:xfrm flipH="1">
                                <a:off x="0" y="0"/>
                                <a:ext cx="324925" cy="180926"/>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C83D" id="Rectangle 11" o:spid="_x0000_s1026" style="position:absolute;margin-left:159.1pt;margin-top:278.65pt;width:25.6pt;height:14.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" filled="f" strokecolor="#e00" strokeweight="2pt">
                      <v:stroke opacity="28784f"/>
                    </v:rect>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93056" behindDoc="0" locked="0" layoutInCell="1" allowOverlap="1" wp14:anchorId="6C9A5A25" wp14:editId="6C7E28DC">
                      <wp:simplePos x="0" y="0"/>
                      <wp:positionH relativeFrom="column">
                        <wp:posOffset>2019300</wp:posOffset>
                      </wp:positionH>
                      <wp:positionV relativeFrom="paragraph">
                        <wp:posOffset>1663065</wp:posOffset>
                      </wp:positionV>
                      <wp:extent cx="324485" cy="180340"/>
                      <wp:effectExtent l="12700" t="12700" r="18415" b="10160"/>
                      <wp:wrapNone/>
                      <wp:docPr id="1978195327" name="Rectangle 11"/>
                      <wp:cNvGraphicFramePr/>
                      <a:graphic xmlns:a="http://schemas.openxmlformats.org/drawingml/2006/main">
                        <a:graphicData uri="http://schemas.microsoft.com/office/word/2010/wordprocessingShape">
                          <wps:wsp>
                            <wps:cNvSpPr/>
                            <wps:spPr>
                              <a:xfrm flipH="1">
                                <a:off x="0" y="0"/>
                                <a:ext cx="324485" cy="180340"/>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24684" id="Rectangle 11" o:spid="_x0000_s1026" style="position:absolute;margin-left:159pt;margin-top:130.95pt;width:25.55pt;height:14.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" filled="f" strokecolor="#e00" strokeweight="2pt">
                      <v:stroke opacity="28784f"/>
                    </v:rect>
                  </w:pict>
                </mc:Fallback>
              </mc:AlternateContent>
            </w:r>
            <w:r w:rsidR="007F6412" w:rsidRPr="007F6412">
              <w:rPr>
                <w:rFonts w:eastAsia="Times New Roman" w:cs="Arial"/>
                <w:noProof/>
                <w14:ligatures w14:val="standardContextual"/>
              </w:rPr>
              <mc:AlternateContent>
                <mc:Choice Requires="wps">
                  <w:drawing>
                    <wp:anchor distT="0" distB="0" distL="114300" distR="114300" simplePos="0" relativeHeight="251668480" behindDoc="0" locked="0" layoutInCell="1" allowOverlap="1" wp14:anchorId="3D307077" wp14:editId="7B06F0C7">
                      <wp:simplePos x="0" y="0"/>
                      <wp:positionH relativeFrom="column">
                        <wp:posOffset>3233420</wp:posOffset>
                      </wp:positionH>
                      <wp:positionV relativeFrom="paragraph">
                        <wp:posOffset>1394122</wp:posOffset>
                      </wp:positionV>
                      <wp:extent cx="833607" cy="269402"/>
                      <wp:effectExtent l="12700" t="12700" r="30480" b="22860"/>
                      <wp:wrapNone/>
                      <wp:docPr id="1259452508"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110DD" id="Rectangle 11" o:spid="_x0000_s1026" style="position:absolute;margin-left:254.6pt;margin-top:109.75pt;width:65.65pt;height:21.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" filled="f" strokecolor="#e00" strokeweight="3pt"/>
                  </w:pict>
                </mc:Fallback>
              </mc:AlternateContent>
            </w:r>
            <w:r w:rsidR="007F6412" w:rsidRPr="007F6412">
              <w:rPr>
                <w:rFonts w:eastAsia="Times New Roman" w:cs="Arial"/>
                <w:noProof/>
                <w14:ligatures w14:val="standardContextual"/>
              </w:rPr>
              <w:drawing>
                <wp:inline distT="0" distB="0" distL="0" distR="0" wp14:anchorId="258CC566" wp14:editId="046373F4">
                  <wp:extent cx="5943600" cy="3830955"/>
                  <wp:effectExtent l="0" t="0" r="0" b="4445"/>
                  <wp:docPr id="923761456"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61456" name="Picture 14" descr="A screenshot of a graph&#10;&#10;AI-generated content may be incorrect."/>
                          <pic:cNvPicPr/>
                        </pic:nvPicPr>
                        <pic:blipFill>
                          <a:blip r:embed="rId7" cstate="print">
                            <a:alphaModFix/>
                            <a:extLst>
                              <a:ext uri="{28A0092B-C50C-407E-A947-70E740481C1C}">
                                <a14:useLocalDpi xmlns:a14="http://schemas.microsoft.com/office/drawing/2010/main" val="0"/>
                              </a:ext>
                            </a:extLst>
                          </a:blip>
                          <a:stretch>
                            <a:fillRect/>
                          </a:stretch>
                        </pic:blipFill>
                        <pic:spPr>
                          <a:xfrm>
                            <a:off x="0" y="0"/>
                            <a:ext cx="5943600" cy="3830955"/>
                          </a:xfrm>
                          <a:prstGeom prst="rect">
                            <a:avLst/>
                          </a:prstGeom>
                          <a:blipFill dpi="0" rotWithShape="1">
                            <a:blip r:embed="rId8"/>
                            <a:srcRect/>
                            <a:tile tx="0" ty="0" sx="100000" sy="100000" flip="none" algn="tl"/>
                          </a:blipFill>
                        </pic:spPr>
                      </pic:pic>
                    </a:graphicData>
                  </a:graphic>
                </wp:inline>
              </w:drawing>
            </w:r>
          </w:p>
        </w:tc>
      </w:tr>
      <w:tr w:rsidR="00434315" w:rsidRPr="007F6412" w14:paraId="5F168114" w14:textId="77777777" w:rsidTr="009A2E45">
        <w:trPr>
          <w:trHeight w:val="5295"/>
        </w:trPr>
        <w:tc>
          <w:tcPr>
            <w:tcW w:w="941" w:type="pct"/>
            <w:tcBorders>
              <w:top w:val="single" w:sz="6" w:space="0" w:color="auto"/>
              <w:left w:val="single" w:sz="6" w:space="0" w:color="auto"/>
              <w:bottom w:val="single" w:sz="6" w:space="0" w:color="auto"/>
              <w:right w:val="single" w:sz="6" w:space="0" w:color="auto"/>
            </w:tcBorders>
          </w:tcPr>
          <w:p w14:paraId="7716BBD9" w14:textId="77777777" w:rsidR="00434315" w:rsidRDefault="00434315" w:rsidP="007F6412">
            <w:pPr>
              <w:spacing w:before="240" w:line="240" w:lineRule="auto"/>
              <w:rPr>
                <w:rFonts w:eastAsia="Times New Roman" w:cs="Arial"/>
                <w:b/>
                <w:vertAlign w:val="superscript"/>
              </w:rPr>
            </w:pPr>
            <w:r w:rsidRPr="007F6412">
              <w:rPr>
                <w:rFonts w:eastAsia="Times New Roman" w:cs="Arial"/>
                <w:b/>
              </w:rPr>
              <w:t>Safety</w:t>
            </w:r>
            <w:r w:rsidR="0079113D">
              <w:rPr>
                <w:rFonts w:eastAsia="Times New Roman" w:cs="Arial"/>
                <w:b/>
                <w:vertAlign w:val="superscript"/>
              </w:rPr>
              <w:t>1</w:t>
            </w:r>
          </w:p>
          <w:p w14:paraId="2D1044E2" w14:textId="5F1BCD37" w:rsidR="000158AB" w:rsidRPr="0079113D" w:rsidRDefault="000158AB" w:rsidP="007F6412">
            <w:pPr>
              <w:spacing w:before="240" w:line="240" w:lineRule="auto"/>
              <w:rPr>
                <w:rFonts w:eastAsia="Times New Roman" w:cs="Arial"/>
                <w:b/>
                <w:vertAlign w:val="superscript"/>
              </w:rPr>
            </w:pPr>
          </w:p>
        </w:tc>
        <w:tc>
          <w:tcPr>
            <w:tcW w:w="4059" w:type="pct"/>
            <w:tcBorders>
              <w:top w:val="single" w:sz="6" w:space="0" w:color="auto"/>
              <w:left w:val="single" w:sz="6" w:space="0" w:color="auto"/>
              <w:bottom w:val="single" w:sz="6" w:space="0" w:color="auto"/>
              <w:right w:val="single" w:sz="6" w:space="0" w:color="auto"/>
            </w:tcBorders>
          </w:tcPr>
          <w:p w14:paraId="0A32EF64" w14:textId="5CBA7CD0" w:rsidR="00434315" w:rsidRPr="007F6412" w:rsidRDefault="00E649E5" w:rsidP="007F6412">
            <w:pPr>
              <w:spacing w:before="240" w:line="240" w:lineRule="auto"/>
              <w:rPr>
                <w:rFonts w:eastAsia="Times New Roman" w:cs="Arial"/>
                <w:noProof/>
              </w:rPr>
            </w:pPr>
            <w:r>
              <w:rPr>
                <w:rFonts w:eastAsia="Times New Roman" w:cs="Arial"/>
                <w:noProof/>
                <w14:ligatures w14:val="standardContextual"/>
              </w:rPr>
              <mc:AlternateContent>
                <mc:Choice Requires="wps">
                  <w:drawing>
                    <wp:anchor distT="0" distB="0" distL="114300" distR="114300" simplePos="0" relativeHeight="251689984" behindDoc="0" locked="0" layoutInCell="1" allowOverlap="1" wp14:anchorId="2AE5D146" wp14:editId="2418B97B">
                      <wp:simplePos x="0" y="0"/>
                      <wp:positionH relativeFrom="column">
                        <wp:posOffset>2216785</wp:posOffset>
                      </wp:positionH>
                      <wp:positionV relativeFrom="paragraph">
                        <wp:posOffset>3659407</wp:posOffset>
                      </wp:positionV>
                      <wp:extent cx="1772529" cy="281305"/>
                      <wp:effectExtent l="0" t="0" r="5715" b="0"/>
                      <wp:wrapNone/>
                      <wp:docPr id="804589914" name="Text Box 15"/>
                      <wp:cNvGraphicFramePr/>
                      <a:graphic xmlns:a="http://schemas.openxmlformats.org/drawingml/2006/main">
                        <a:graphicData uri="http://schemas.microsoft.com/office/word/2010/wordprocessingShape">
                          <wps:wsp>
                            <wps:cNvSpPr txBox="1"/>
                            <wps:spPr>
                              <a:xfrm>
                                <a:off x="0" y="0"/>
                                <a:ext cx="1772529" cy="281305"/>
                              </a:xfrm>
                              <a:prstGeom prst="rect">
                                <a:avLst/>
                              </a:prstGeom>
                              <a:solidFill>
                                <a:schemeClr val="lt1"/>
                              </a:solidFill>
                              <a:ln w="6350">
                                <a:noFill/>
                              </a:ln>
                            </wps:spPr>
                            <wps:txbx>
                              <w:txbxContent>
                                <w:p w14:paraId="703D8292" w14:textId="07BE3969" w:rsidR="000158AB" w:rsidRPr="00E649E5" w:rsidRDefault="000158AB" w:rsidP="000158AB">
                                  <w:pPr>
                                    <w:rPr>
                                      <w:color w:val="EE0000"/>
                                    </w:rPr>
                                  </w:pPr>
                                  <w:r w:rsidRPr="00E649E5">
                                    <w:rPr>
                                      <w:color w:val="EE0000"/>
                                    </w:rPr>
                                    <w:t>63</w:t>
                                  </w:r>
                                  <w:r w:rsidRPr="00E649E5">
                                    <w:rPr>
                                      <w:color w:val="EE0000"/>
                                    </w:rPr>
                                    <w:t>% lower risk of bleeding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D146" id="_x0000_s1028" type="#_x0000_t202" style="position:absolute;margin-left:174.55pt;margin-top:288.15pt;width:139.55pt;height:2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" fillcolor="white [3201]" stroked="f" strokeweight=".5pt">
                      <v:textbox>
                        <w:txbxContent>
                          <w:p w14:paraId="703D8292" w14:textId="07BE3969" w:rsidR="000158AB" w:rsidRPr="00E649E5" w:rsidRDefault="000158AB" w:rsidP="000158AB">
                            <w:pPr>
                              <w:rPr>
                                <w:color w:val="EE0000"/>
                              </w:rPr>
                            </w:pPr>
                            <w:r w:rsidRPr="00E649E5">
                              <w:rPr>
                                <w:color w:val="EE0000"/>
                              </w:rPr>
                              <w:t>63</w:t>
                            </w:r>
                            <w:r w:rsidRPr="00E649E5">
                              <w:rPr>
                                <w:color w:val="EE0000"/>
                              </w:rPr>
                              <w:t>% lower risk of bleeding</w:t>
                            </w:r>
                          </w:p>
                        </w:txbxContent>
                      </v:textbox>
                    </v:shape>
                  </w:pict>
                </mc:Fallback>
              </mc:AlternateContent>
            </w:r>
            <w:r w:rsidR="0025150D" w:rsidRPr="007F6412">
              <w:rPr>
                <w:rFonts w:eastAsia="Times New Roman" w:cs="Arial"/>
                <w:noProof/>
                <w14:ligatures w14:val="standardContextual"/>
              </w:rPr>
              <mc:AlternateContent>
                <mc:Choice Requires="wps">
                  <w:drawing>
                    <wp:anchor distT="0" distB="0" distL="114300" distR="114300" simplePos="0" relativeHeight="251674624" behindDoc="0" locked="0" layoutInCell="1" allowOverlap="1" wp14:anchorId="7302C040" wp14:editId="133B310F">
                      <wp:simplePos x="0" y="0"/>
                      <wp:positionH relativeFrom="column">
                        <wp:posOffset>3235960</wp:posOffset>
                      </wp:positionH>
                      <wp:positionV relativeFrom="paragraph">
                        <wp:posOffset>1337604</wp:posOffset>
                      </wp:positionV>
                      <wp:extent cx="833607" cy="269402"/>
                      <wp:effectExtent l="12700" t="12700" r="30480" b="22860"/>
                      <wp:wrapNone/>
                      <wp:docPr id="151990247"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4D10F" id="Rectangle 11" o:spid="_x0000_s1026" style="position:absolute;margin-left:254.8pt;margin-top:105.3pt;width:65.65pt;height:21.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" filled="f" strokecolor="#e00" strokeweight="3pt"/>
                  </w:pict>
                </mc:Fallback>
              </mc:AlternateContent>
            </w:r>
            <w:r w:rsidR="00F36D08">
              <w:rPr>
                <w:rFonts w:eastAsia="Times New Roman" w:cs="Arial"/>
                <w:noProof/>
                <w14:ligatures w14:val="standardContextual"/>
              </w:rPr>
              <mc:AlternateContent>
                <mc:Choice Requires="wps">
                  <w:drawing>
                    <wp:anchor distT="0" distB="0" distL="114300" distR="114300" simplePos="0" relativeHeight="251687936" behindDoc="0" locked="0" layoutInCell="1" allowOverlap="1" wp14:anchorId="359471D9" wp14:editId="5607BC92">
                      <wp:simplePos x="0" y="0"/>
                      <wp:positionH relativeFrom="column">
                        <wp:posOffset>2174777</wp:posOffset>
                      </wp:positionH>
                      <wp:positionV relativeFrom="paragraph">
                        <wp:posOffset>1835150</wp:posOffset>
                      </wp:positionV>
                      <wp:extent cx="1779563" cy="281354"/>
                      <wp:effectExtent l="0" t="0" r="0" b="0"/>
                      <wp:wrapNone/>
                      <wp:docPr id="113511441" name="Text Box 15"/>
                      <wp:cNvGraphicFramePr/>
                      <a:graphic xmlns:a="http://schemas.openxmlformats.org/drawingml/2006/main">
                        <a:graphicData uri="http://schemas.microsoft.com/office/word/2010/wordprocessingShape">
                          <wps:wsp>
                            <wps:cNvSpPr txBox="1"/>
                            <wps:spPr>
                              <a:xfrm>
                                <a:off x="0" y="0"/>
                                <a:ext cx="1779563" cy="281354"/>
                              </a:xfrm>
                              <a:prstGeom prst="rect">
                                <a:avLst/>
                              </a:prstGeom>
                              <a:solidFill>
                                <a:schemeClr val="lt1"/>
                              </a:solidFill>
                              <a:ln w="6350">
                                <a:noFill/>
                              </a:ln>
                            </wps:spPr>
                            <wps:txbx>
                              <w:txbxContent>
                                <w:p w14:paraId="1076B2F6" w14:textId="10F1C704" w:rsidR="00F36D08" w:rsidRPr="00E649E5" w:rsidRDefault="00F36D08" w:rsidP="00F36D08">
                                  <w:pPr>
                                    <w:rPr>
                                      <w:color w:val="EE0000"/>
                                    </w:rPr>
                                  </w:pPr>
                                  <w:r w:rsidRPr="00E649E5">
                                    <w:rPr>
                                      <w:color w:val="EE0000"/>
                                    </w:rPr>
                                    <w:t>54%</w:t>
                                  </w:r>
                                  <w:r w:rsidRPr="00E649E5">
                                    <w:rPr>
                                      <w:color w:val="EE0000"/>
                                    </w:rPr>
                                    <w:t xml:space="preserve"> lower risk </w:t>
                                  </w:r>
                                  <w:r w:rsidRPr="00E649E5">
                                    <w:rPr>
                                      <w:color w:val="EE0000"/>
                                    </w:rPr>
                                    <w:t>of bleeding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71D9" id="_x0000_s1029" type="#_x0000_t202" style="position:absolute;margin-left:171.25pt;margin-top:144.5pt;width:140.1pt;height:2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" fillcolor="white [3201]" stroked="f" strokeweight=".5pt">
                      <v:textbox>
                        <w:txbxContent>
                          <w:p w14:paraId="1076B2F6" w14:textId="10F1C704" w:rsidR="00F36D08" w:rsidRPr="00E649E5" w:rsidRDefault="00F36D08" w:rsidP="00F36D08">
                            <w:pPr>
                              <w:rPr>
                                <w:color w:val="EE0000"/>
                              </w:rPr>
                            </w:pPr>
                            <w:r w:rsidRPr="00E649E5">
                              <w:rPr>
                                <w:color w:val="EE0000"/>
                              </w:rPr>
                              <w:t>54%</w:t>
                            </w:r>
                            <w:r w:rsidRPr="00E649E5">
                              <w:rPr>
                                <w:color w:val="EE0000"/>
                              </w:rPr>
                              <w:t xml:space="preserve"> lower risk </w:t>
                            </w:r>
                            <w:r w:rsidRPr="00E649E5">
                              <w:rPr>
                                <w:color w:val="EE0000"/>
                              </w:rPr>
                              <w:t>of bleeding</w:t>
                            </w:r>
                          </w:p>
                        </w:txbxContent>
                      </v:textbox>
                    </v:shape>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94080" behindDoc="0" locked="0" layoutInCell="1" allowOverlap="1" wp14:anchorId="64B45DE0" wp14:editId="1B621F0A">
                      <wp:simplePos x="0" y="0"/>
                      <wp:positionH relativeFrom="column">
                        <wp:posOffset>2019300</wp:posOffset>
                      </wp:positionH>
                      <wp:positionV relativeFrom="paragraph">
                        <wp:posOffset>3479067</wp:posOffset>
                      </wp:positionV>
                      <wp:extent cx="324925" cy="180926"/>
                      <wp:effectExtent l="12700" t="12700" r="18415" b="10160"/>
                      <wp:wrapNone/>
                      <wp:docPr id="783139491" name="Rectangle 11"/>
                      <wp:cNvGraphicFramePr/>
                      <a:graphic xmlns:a="http://schemas.openxmlformats.org/drawingml/2006/main">
                        <a:graphicData uri="http://schemas.microsoft.com/office/word/2010/wordprocessingShape">
                          <wps:wsp>
                            <wps:cNvSpPr/>
                            <wps:spPr>
                              <a:xfrm flipH="1">
                                <a:off x="0" y="0"/>
                                <a:ext cx="324925" cy="180926"/>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1F56" id="Rectangle 11" o:spid="_x0000_s1026" style="position:absolute;margin-left:159pt;margin-top:273.95pt;width:25.6pt;height:14.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" filled="f" strokecolor="#e00" strokeweight="2pt">
                      <v:stroke opacity="28784f"/>
                    </v:rect>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82816" behindDoc="0" locked="0" layoutInCell="1" allowOverlap="1" wp14:anchorId="0CA0AF0B" wp14:editId="5F43667E">
                      <wp:simplePos x="0" y="0"/>
                      <wp:positionH relativeFrom="column">
                        <wp:posOffset>2020326</wp:posOffset>
                      </wp:positionH>
                      <wp:positionV relativeFrom="paragraph">
                        <wp:posOffset>1594143</wp:posOffset>
                      </wp:positionV>
                      <wp:extent cx="324925" cy="180926"/>
                      <wp:effectExtent l="12700" t="12700" r="18415" b="10160"/>
                      <wp:wrapNone/>
                      <wp:docPr id="1430304806" name="Rectangle 11"/>
                      <wp:cNvGraphicFramePr/>
                      <a:graphic xmlns:a="http://schemas.openxmlformats.org/drawingml/2006/main">
                        <a:graphicData uri="http://schemas.microsoft.com/office/word/2010/wordprocessingShape">
                          <wps:wsp>
                            <wps:cNvSpPr/>
                            <wps:spPr>
                              <a:xfrm flipH="1">
                                <a:off x="0" y="0"/>
                                <a:ext cx="324925" cy="180926"/>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C8316" id="Rectangle 11" o:spid="_x0000_s1026" style="position:absolute;margin-left:159.1pt;margin-top:125.5pt;width:25.6pt;height:14.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" filled="f" strokecolor="#e00" strokeweight="2pt">
                      <v:stroke opacity="28784f"/>
                    </v:rect>
                  </w:pict>
                </mc:Fallback>
              </mc:AlternateContent>
            </w:r>
            <w:r w:rsidR="007F6412" w:rsidRPr="007F6412">
              <w:rPr>
                <w:rFonts w:eastAsia="Times New Roman" w:cs="Arial"/>
                <w:noProof/>
                <w14:ligatures w14:val="standardContextual"/>
              </w:rPr>
              <mc:AlternateContent>
                <mc:Choice Requires="wps">
                  <w:drawing>
                    <wp:anchor distT="0" distB="0" distL="114300" distR="114300" simplePos="0" relativeHeight="251676672" behindDoc="0" locked="0" layoutInCell="1" allowOverlap="1" wp14:anchorId="4A18E45E" wp14:editId="7734AD65">
                      <wp:simplePos x="0" y="0"/>
                      <wp:positionH relativeFrom="column">
                        <wp:posOffset>3235960</wp:posOffset>
                      </wp:positionH>
                      <wp:positionV relativeFrom="paragraph">
                        <wp:posOffset>3214870</wp:posOffset>
                      </wp:positionV>
                      <wp:extent cx="833607" cy="269402"/>
                      <wp:effectExtent l="12700" t="12700" r="30480" b="22860"/>
                      <wp:wrapNone/>
                      <wp:docPr id="397242333"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90D99" id="Rectangle 11" o:spid="_x0000_s1026" style="position:absolute;margin-left:254.8pt;margin-top:253.15pt;width:65.65pt;height:21.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" filled="f" strokecolor="#e00" strokeweight="3pt"/>
                  </w:pict>
                </mc:Fallback>
              </mc:AlternateContent>
            </w:r>
            <w:r w:rsidR="007F6412" w:rsidRPr="007F6412">
              <w:rPr>
                <w:rFonts w:eastAsia="Times New Roman" w:cs="Arial"/>
                <w:noProof/>
                <w14:ligatures w14:val="standardContextual"/>
              </w:rPr>
              <w:drawing>
                <wp:inline distT="0" distB="0" distL="0" distR="0" wp14:anchorId="7DFBEA48" wp14:editId="2DE9D6F1">
                  <wp:extent cx="5943600" cy="3692525"/>
                  <wp:effectExtent l="0" t="0" r="0" b="3175"/>
                  <wp:docPr id="1277828704" name="Picture 1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28704" name="Picture 13"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92525"/>
                          </a:xfrm>
                          <a:prstGeom prst="rect">
                            <a:avLst/>
                          </a:prstGeom>
                        </pic:spPr>
                      </pic:pic>
                    </a:graphicData>
                  </a:graphic>
                </wp:inline>
              </w:drawing>
            </w:r>
          </w:p>
        </w:tc>
      </w:tr>
      <w:tr w:rsidR="00434315" w:rsidRPr="007F6412" w14:paraId="5271D321"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hideMark/>
          </w:tcPr>
          <w:p w14:paraId="7D62CD7B" w14:textId="77777777" w:rsidR="00434315" w:rsidRPr="007F6412" w:rsidRDefault="00434315" w:rsidP="007F6412">
            <w:pPr>
              <w:keepNext/>
              <w:tabs>
                <w:tab w:val="left" w:pos="432"/>
              </w:tabs>
              <w:spacing w:before="240" w:line="240" w:lineRule="auto"/>
              <w:ind w:left="522" w:hanging="360"/>
              <w:outlineLvl w:val="0"/>
              <w:rPr>
                <w:rFonts w:eastAsia="Times New Roman" w:cs="Arial"/>
                <w:b/>
                <w:bCs/>
                <w:color w:val="000000"/>
              </w:rPr>
            </w:pPr>
            <w:r w:rsidRPr="007F6412">
              <w:rPr>
                <w:rFonts w:eastAsia="Times New Roman" w:cs="Arial"/>
                <w:b/>
                <w:bCs/>
                <w:color w:val="000000"/>
              </w:rPr>
              <w:lastRenderedPageBreak/>
              <w:t>Results</w:t>
            </w:r>
          </w:p>
        </w:tc>
      </w:tr>
      <w:tr w:rsidR="00434315" w:rsidRPr="007F6412" w14:paraId="48A86122" w14:textId="77777777" w:rsidTr="002B095B">
        <w:trPr>
          <w:trHeight w:val="150"/>
        </w:trPr>
        <w:tc>
          <w:tcPr>
            <w:tcW w:w="5000" w:type="pct"/>
            <w:gridSpan w:val="2"/>
            <w:tcBorders>
              <w:top w:val="single" w:sz="6" w:space="0" w:color="auto"/>
              <w:left w:val="single" w:sz="6" w:space="0" w:color="auto"/>
              <w:bottom w:val="single" w:sz="6" w:space="0" w:color="auto"/>
              <w:right w:val="single" w:sz="6" w:space="0" w:color="auto"/>
            </w:tcBorders>
            <w:hideMark/>
          </w:tcPr>
          <w:p w14:paraId="73BD851B" w14:textId="7DC02D17" w:rsidR="00434315" w:rsidRPr="007F6412" w:rsidRDefault="00434315" w:rsidP="007F6412">
            <w:pPr>
              <w:spacing w:before="240" w:line="240" w:lineRule="auto"/>
              <w:rPr>
                <w:rFonts w:eastAsia="Times New Roman" w:cs="Arial"/>
                <w:b/>
                <w:vertAlign w:val="superscript"/>
              </w:rPr>
            </w:pPr>
            <w:r w:rsidRPr="007F6412">
              <w:rPr>
                <w:rFonts w:eastAsia="Times New Roman" w:cs="Arial"/>
                <w:b/>
              </w:rPr>
              <w:t>CONCLUSIONS</w:t>
            </w:r>
          </w:p>
        </w:tc>
      </w:tr>
      <w:tr w:rsidR="00434315" w:rsidRPr="007F6412" w14:paraId="0C411898" w14:textId="77777777" w:rsidTr="009A2E45">
        <w:trPr>
          <w:trHeight w:val="525"/>
        </w:trPr>
        <w:tc>
          <w:tcPr>
            <w:tcW w:w="941" w:type="pct"/>
            <w:tcBorders>
              <w:top w:val="single" w:sz="6" w:space="0" w:color="auto"/>
              <w:left w:val="single" w:sz="6" w:space="0" w:color="auto"/>
              <w:bottom w:val="single" w:sz="6" w:space="0" w:color="auto"/>
              <w:right w:val="single" w:sz="6" w:space="0" w:color="auto"/>
            </w:tcBorders>
            <w:hideMark/>
          </w:tcPr>
          <w:p w14:paraId="7EA326CC" w14:textId="27AD1304" w:rsidR="00434315" w:rsidRPr="000158AB" w:rsidRDefault="00434315" w:rsidP="007F6412">
            <w:pPr>
              <w:numPr>
                <w:ilvl w:val="12"/>
                <w:numId w:val="0"/>
              </w:numPr>
              <w:spacing w:before="240" w:line="240" w:lineRule="auto"/>
              <w:rPr>
                <w:rFonts w:eastAsia="Times New Roman" w:cs="Arial"/>
                <w:b/>
                <w:vertAlign w:val="superscript"/>
              </w:rPr>
            </w:pPr>
            <w:r w:rsidRPr="007F6412">
              <w:rPr>
                <w:rFonts w:eastAsia="Times New Roman" w:cs="Arial"/>
                <w:b/>
              </w:rPr>
              <w:t>Authors' conclusions</w:t>
            </w:r>
            <w:r w:rsidR="000158AB">
              <w:rPr>
                <w:rFonts w:eastAsia="Times New Roman" w:cs="Arial"/>
                <w:b/>
                <w:vertAlign w:val="superscript"/>
              </w:rPr>
              <w:t>1</w:t>
            </w:r>
          </w:p>
        </w:tc>
        <w:tc>
          <w:tcPr>
            <w:tcW w:w="4059" w:type="pct"/>
            <w:tcBorders>
              <w:top w:val="single" w:sz="6" w:space="0" w:color="auto"/>
              <w:left w:val="single" w:sz="6" w:space="0" w:color="auto"/>
              <w:bottom w:val="single" w:sz="6" w:space="0" w:color="auto"/>
              <w:right w:val="single" w:sz="6" w:space="0" w:color="auto"/>
            </w:tcBorders>
            <w:hideMark/>
          </w:tcPr>
          <w:p w14:paraId="298C73BE" w14:textId="63907249" w:rsidR="00434315" w:rsidRPr="007F6412" w:rsidRDefault="00416E83" w:rsidP="007F6412">
            <w:pPr>
              <w:spacing w:before="240" w:line="240" w:lineRule="auto"/>
              <w:rPr>
                <w:rFonts w:eastAsia="Times New Roman" w:cs="Arial"/>
              </w:rPr>
            </w:pPr>
            <w:r w:rsidRPr="007F6412">
              <w:rPr>
                <w:rStyle w:val="muitypography-root"/>
              </w:rPr>
              <w:t>DOACs appear to have more favorable efficacy and safety than VKAs for post-AMI LV thrombus</w:t>
            </w:r>
          </w:p>
        </w:tc>
      </w:tr>
      <w:tr w:rsidR="00434315" w:rsidRPr="007F6412" w14:paraId="7E71D237" w14:textId="77777777" w:rsidTr="009A2E45">
        <w:trPr>
          <w:cantSplit/>
          <w:trHeight w:val="831"/>
        </w:trPr>
        <w:tc>
          <w:tcPr>
            <w:tcW w:w="941" w:type="pct"/>
            <w:tcBorders>
              <w:top w:val="single" w:sz="6" w:space="0" w:color="auto"/>
              <w:left w:val="single" w:sz="6" w:space="0" w:color="auto"/>
              <w:bottom w:val="single" w:sz="6" w:space="0" w:color="auto"/>
              <w:right w:val="single" w:sz="4" w:space="0" w:color="auto"/>
            </w:tcBorders>
          </w:tcPr>
          <w:p w14:paraId="38592728" w14:textId="35BF37D3" w:rsidR="00434315" w:rsidRPr="000158AB" w:rsidRDefault="00434315" w:rsidP="007F6412">
            <w:pPr>
              <w:numPr>
                <w:ilvl w:val="12"/>
                <w:numId w:val="0"/>
              </w:numPr>
              <w:spacing w:before="240" w:line="240" w:lineRule="auto"/>
              <w:rPr>
                <w:rFonts w:eastAsia="Times New Roman" w:cs="Arial"/>
                <w:b/>
                <w:vertAlign w:val="superscript"/>
              </w:rPr>
            </w:pPr>
            <w:r w:rsidRPr="007F6412">
              <w:rPr>
                <w:rFonts w:eastAsia="Times New Roman" w:cs="Arial"/>
                <w:b/>
              </w:rPr>
              <w:t>Strengths of Study</w:t>
            </w:r>
            <w:r w:rsidR="000158AB">
              <w:rPr>
                <w:rFonts w:eastAsia="Times New Roman" w:cs="Arial"/>
                <w:b/>
                <w:vertAlign w:val="superscript"/>
              </w:rPr>
              <w:t>1</w:t>
            </w:r>
          </w:p>
          <w:p w14:paraId="4F3FFC40" w14:textId="77777777" w:rsidR="00434315" w:rsidRPr="007F6412" w:rsidRDefault="00434315" w:rsidP="007F6412">
            <w:pPr>
              <w:spacing w:before="240" w:line="240" w:lineRule="auto"/>
              <w:rPr>
                <w:rFonts w:eastAsia="Times New Roman" w:cs="Arial"/>
                <w:b/>
              </w:rPr>
            </w:pPr>
          </w:p>
        </w:tc>
        <w:tc>
          <w:tcPr>
            <w:tcW w:w="4059" w:type="pct"/>
            <w:tcBorders>
              <w:top w:val="single" w:sz="4" w:space="0" w:color="auto"/>
              <w:left w:val="single" w:sz="4" w:space="0" w:color="auto"/>
              <w:bottom w:val="single" w:sz="4" w:space="0" w:color="auto"/>
              <w:right w:val="single" w:sz="4" w:space="0" w:color="auto"/>
            </w:tcBorders>
          </w:tcPr>
          <w:p w14:paraId="6D4CC638" w14:textId="0459A461" w:rsidR="00434315"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t>Restricted to post–</w:t>
            </w:r>
            <w:r w:rsidR="00A94038">
              <w:t>AMI</w:t>
            </w:r>
            <w:r w:rsidRPr="007F6412">
              <w:t xml:space="preserve"> LV thrombus, improving clinical applicability to AMI care compared with mixed-etiology LVT meta-analyses</w:t>
            </w:r>
          </w:p>
          <w:p w14:paraId="5AFC7486" w14:textId="77777777" w:rsidR="00BB640B" w:rsidRPr="007F6412"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Consistent effect estimates with low heterogeneity</w:t>
            </w:r>
          </w:p>
          <w:p w14:paraId="6121043A" w14:textId="77777777" w:rsidR="00BB640B" w:rsidRPr="007F6412"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Clinically meaningful outcomes</w:t>
            </w:r>
            <w:r w:rsidRPr="007F6412">
              <w:rPr>
                <w:rStyle w:val="muitypography-root"/>
              </w:rPr>
              <w:t xml:space="preserve"> (e.g. bleeding, systemic embolism, etc.)</w:t>
            </w:r>
          </w:p>
          <w:p w14:paraId="672480E5" w14:textId="5ECF781D" w:rsidR="00BB640B"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rPr>
                <w:rStyle w:val="muitypography-root"/>
              </w:rPr>
              <w:t>Methodolo</w:t>
            </w:r>
            <w:r w:rsidRPr="007F6412">
              <w:rPr>
                <w:rStyle w:val="muitypography-root"/>
              </w:rPr>
              <w:t xml:space="preserve">gy </w:t>
            </w:r>
            <w:r w:rsidRPr="007F6412">
              <w:rPr>
                <w:rStyle w:val="muitypography-root"/>
              </w:rPr>
              <w:t>typical of contemporary meta-analyses</w:t>
            </w:r>
          </w:p>
        </w:tc>
      </w:tr>
      <w:tr w:rsidR="00434315" w:rsidRPr="007F6412" w14:paraId="5BEE87B7" w14:textId="77777777" w:rsidTr="009A2E45">
        <w:trPr>
          <w:trHeight w:val="597"/>
        </w:trPr>
        <w:tc>
          <w:tcPr>
            <w:tcW w:w="941" w:type="pct"/>
            <w:tcBorders>
              <w:top w:val="single" w:sz="6" w:space="0" w:color="auto"/>
              <w:left w:val="single" w:sz="6" w:space="0" w:color="auto"/>
              <w:bottom w:val="single" w:sz="6" w:space="0" w:color="auto"/>
              <w:right w:val="single" w:sz="6" w:space="0" w:color="auto"/>
            </w:tcBorders>
          </w:tcPr>
          <w:p w14:paraId="6F9A7FF0" w14:textId="03CD7C69" w:rsidR="00434315" w:rsidRPr="000158AB" w:rsidRDefault="00434315" w:rsidP="007F6412">
            <w:pPr>
              <w:spacing w:before="240" w:line="240" w:lineRule="auto"/>
              <w:rPr>
                <w:rFonts w:eastAsia="Times New Roman" w:cs="Arial"/>
                <w:b/>
                <w:vertAlign w:val="superscript"/>
              </w:rPr>
            </w:pPr>
            <w:r w:rsidRPr="007F6412">
              <w:rPr>
                <w:rFonts w:eastAsia="Times New Roman" w:cs="Arial"/>
                <w:b/>
              </w:rPr>
              <w:t>Weaknesses of Study</w:t>
            </w:r>
            <w:r w:rsidR="000158AB">
              <w:rPr>
                <w:rFonts w:eastAsia="Times New Roman" w:cs="Arial"/>
                <w:b/>
                <w:vertAlign w:val="superscript"/>
              </w:rPr>
              <w:t>1</w:t>
            </w:r>
          </w:p>
          <w:p w14:paraId="152B130D" w14:textId="77777777" w:rsidR="00434315" w:rsidRPr="007F6412" w:rsidRDefault="00434315" w:rsidP="007F6412">
            <w:pPr>
              <w:spacing w:before="240" w:line="240" w:lineRule="auto"/>
              <w:rPr>
                <w:rFonts w:eastAsia="Times New Roman" w:cs="Arial"/>
                <w:b/>
              </w:rPr>
            </w:pPr>
          </w:p>
          <w:p w14:paraId="30868CC0" w14:textId="77777777" w:rsidR="00434315" w:rsidRPr="007F6412" w:rsidRDefault="00434315" w:rsidP="007F6412">
            <w:pPr>
              <w:spacing w:before="240" w:line="240" w:lineRule="auto"/>
              <w:jc w:val="center"/>
              <w:rPr>
                <w:rFonts w:eastAsia="Times New Roman" w:cs="Arial"/>
                <w:b/>
              </w:rPr>
            </w:pPr>
          </w:p>
        </w:tc>
        <w:tc>
          <w:tcPr>
            <w:tcW w:w="4059" w:type="pct"/>
            <w:tcBorders>
              <w:top w:val="single" w:sz="4" w:space="0" w:color="auto"/>
              <w:left w:val="single" w:sz="6" w:space="0" w:color="auto"/>
              <w:bottom w:val="single" w:sz="6" w:space="0" w:color="auto"/>
              <w:right w:val="single" w:sz="6" w:space="0" w:color="auto"/>
            </w:tcBorders>
            <w:hideMark/>
          </w:tcPr>
          <w:p w14:paraId="25A9DFF2" w14:textId="4CFE4A93" w:rsidR="00BB640B"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t>Observational dominance of studies selected</w:t>
            </w:r>
          </w:p>
          <w:p w14:paraId="7634FBB9" w14:textId="77777777" w:rsidR="00BB640B"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t>Small total sample, only 605 patients</w:t>
            </w:r>
          </w:p>
          <w:p w14:paraId="068A5870" w14:textId="1D2D4017" w:rsidR="00BB640B" w:rsidRPr="007F6412"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Limited treatment detail and quality metrics</w:t>
            </w:r>
            <w:r w:rsidRPr="007F6412">
              <w:rPr>
                <w:rStyle w:val="muitypography-root"/>
              </w:rPr>
              <w:t xml:space="preserve"> (ex. </w:t>
            </w:r>
            <w:r w:rsidRPr="007F6412">
              <w:rPr>
                <w:rStyle w:val="muitypography-root"/>
              </w:rPr>
              <w:t>warfarin time-in-therapeutic-range</w:t>
            </w:r>
            <w:r w:rsidRPr="007F6412">
              <w:rPr>
                <w:rStyle w:val="muitypography-root"/>
              </w:rPr>
              <w:t>)</w:t>
            </w:r>
          </w:p>
          <w:p w14:paraId="20A414B6" w14:textId="77777777" w:rsidR="00BB640B" w:rsidRPr="00E649E5"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V</w:t>
            </w:r>
            <w:r w:rsidRPr="007F6412">
              <w:rPr>
                <w:rStyle w:val="muitypography-root"/>
              </w:rPr>
              <w:t xml:space="preserve">ariability in antiplatelet regimens, revascularization strategies, imaging modality/timing for resolution, and anticoagulation duration </w:t>
            </w:r>
            <w:r w:rsidRPr="007F6412">
              <w:rPr>
                <w:rStyle w:val="muitypography-root"/>
              </w:rPr>
              <w:t xml:space="preserve">which was not </w:t>
            </w:r>
            <w:r w:rsidRPr="007F6412">
              <w:rPr>
                <w:rStyle w:val="muitypography-root"/>
              </w:rPr>
              <w:t>standardized across studies</w:t>
            </w:r>
          </w:p>
          <w:p w14:paraId="3EF1C3BA" w14:textId="3490C44D" w:rsidR="00E649E5" w:rsidRPr="007F6412" w:rsidRDefault="00E649E5" w:rsidP="007F6412">
            <w:pPr>
              <w:pStyle w:val="ListParagraph"/>
              <w:numPr>
                <w:ilvl w:val="0"/>
                <w:numId w:val="2"/>
              </w:numPr>
              <w:tabs>
                <w:tab w:val="left" w:pos="40"/>
              </w:tabs>
              <w:spacing w:before="240" w:line="240" w:lineRule="auto"/>
              <w:ind w:left="360"/>
              <w:contextualSpacing w:val="0"/>
              <w:rPr>
                <w:rFonts w:eastAsia="Times New Roman" w:cs="Arial"/>
              </w:rPr>
            </w:pPr>
            <w:r>
              <w:t xml:space="preserve">Some studies followed patients for only 3 months, others for up to 2 years. This is not fully addressed in the Results </w:t>
            </w:r>
            <w:r>
              <w:t>section</w:t>
            </w:r>
            <w:r>
              <w:t xml:space="preserve">, but differences in follow-up duration </w:t>
            </w:r>
            <w:r w:rsidRPr="00E649E5">
              <w:rPr>
                <w:rStyle w:val="Emphasis"/>
                <w:i w:val="0"/>
                <w:iCs w:val="0"/>
              </w:rPr>
              <w:t>can</w:t>
            </w:r>
            <w:r>
              <w:t xml:space="preserve"> bias results, </w:t>
            </w:r>
            <w:r>
              <w:t>especially</w:t>
            </w:r>
            <w:r>
              <w:t xml:space="preserve"> for embolism and bleeding endpoints</w:t>
            </w:r>
          </w:p>
        </w:tc>
      </w:tr>
      <w:tr w:rsidR="00434315" w:rsidRPr="007F6412" w14:paraId="73BE7BD4" w14:textId="77777777" w:rsidTr="009A2E45">
        <w:trPr>
          <w:cantSplit/>
          <w:trHeight w:val="1425"/>
        </w:trPr>
        <w:tc>
          <w:tcPr>
            <w:tcW w:w="941" w:type="pct"/>
            <w:tcBorders>
              <w:top w:val="single" w:sz="6" w:space="0" w:color="auto"/>
              <w:left w:val="single" w:sz="6" w:space="0" w:color="auto"/>
              <w:bottom w:val="single" w:sz="6" w:space="0" w:color="auto"/>
              <w:right w:val="single" w:sz="6" w:space="0" w:color="auto"/>
            </w:tcBorders>
            <w:hideMark/>
          </w:tcPr>
          <w:p w14:paraId="68D96CD1" w14:textId="1D2CFF19" w:rsidR="00434315" w:rsidRPr="008F555B" w:rsidRDefault="00434315" w:rsidP="007F6412">
            <w:pPr>
              <w:spacing w:before="240" w:line="240" w:lineRule="auto"/>
              <w:rPr>
                <w:rFonts w:eastAsia="Times New Roman" w:cs="Arial"/>
                <w:vertAlign w:val="superscript"/>
              </w:rPr>
            </w:pPr>
            <w:r w:rsidRPr="007F6412">
              <w:rPr>
                <w:rFonts w:eastAsia="Times New Roman" w:cs="Arial"/>
                <w:b/>
              </w:rPr>
              <w:t>How will this change practice or recommendations?</w:t>
            </w:r>
            <w:r w:rsidR="008F555B">
              <w:rPr>
                <w:rFonts w:eastAsia="Times New Roman" w:cs="Arial"/>
                <w:b/>
                <w:vertAlign w:val="superscript"/>
              </w:rPr>
              <w:t>4,5</w:t>
            </w:r>
          </w:p>
        </w:tc>
        <w:tc>
          <w:tcPr>
            <w:tcW w:w="4059" w:type="pct"/>
            <w:tcBorders>
              <w:top w:val="single" w:sz="6" w:space="0" w:color="auto"/>
              <w:left w:val="single" w:sz="6" w:space="0" w:color="auto"/>
              <w:bottom w:val="single" w:sz="4" w:space="0" w:color="auto"/>
              <w:right w:val="single" w:sz="6" w:space="0" w:color="auto"/>
            </w:tcBorders>
            <w:hideMark/>
          </w:tcPr>
          <w:p w14:paraId="6F1858C4" w14:textId="0ECC1FF7" w:rsidR="00434315" w:rsidRPr="008F555B" w:rsidRDefault="008F555B" w:rsidP="008F555B">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8F555B">
              <w:rPr>
                <w:rStyle w:val="muitypography-root"/>
              </w:rPr>
              <w:t>The latest ESC guidance now acknowledges DOACs as an alternative to VKAs for LVT, stating that DOACs may be used for 3–6 months in these patients</w:t>
            </w:r>
            <w:r>
              <w:rPr>
                <w:rStyle w:val="muitypography-root"/>
              </w:rPr>
              <w:t>.</w:t>
            </w:r>
            <w:r w:rsidRPr="008F555B">
              <w:rPr>
                <w:rStyle w:val="muitypography-root"/>
              </w:rPr>
              <w:t xml:space="preserve"> However, the ESC stops short of listing DOACs as the </w:t>
            </w:r>
            <w:r w:rsidR="0025150D">
              <w:rPr>
                <w:rStyle w:val="muitypography-root"/>
              </w:rPr>
              <w:t>undisputed</w:t>
            </w:r>
            <w:r w:rsidRPr="008F555B">
              <w:rPr>
                <w:rStyle w:val="muitypography-root"/>
              </w:rPr>
              <w:t xml:space="preserve"> first-line standard, citing ongoing uncertainty and a need for more definitive RCTs</w:t>
            </w:r>
            <w:r>
              <w:rPr>
                <w:rStyle w:val="muitypography-root"/>
              </w:rPr>
              <w:t>.</w:t>
            </w:r>
          </w:p>
          <w:p w14:paraId="689D4073" w14:textId="6FDF08DC" w:rsidR="008F555B" w:rsidRPr="008F555B" w:rsidRDefault="008F555B" w:rsidP="008F555B">
            <w:pPr>
              <w:pStyle w:val="ListParagraph"/>
              <w:numPr>
                <w:ilvl w:val="0"/>
                <w:numId w:val="2"/>
              </w:numPr>
              <w:tabs>
                <w:tab w:val="left" w:pos="40"/>
              </w:tabs>
              <w:spacing w:before="240" w:line="240" w:lineRule="auto"/>
              <w:ind w:left="360"/>
              <w:contextualSpacing w:val="0"/>
              <w:rPr>
                <w:rFonts w:eastAsia="Times New Roman" w:cs="Arial"/>
              </w:rPr>
            </w:pPr>
            <w:r>
              <w:t xml:space="preserve">As of 2024, </w:t>
            </w:r>
            <w:r>
              <w:t xml:space="preserve">AHA/ACC </w:t>
            </w:r>
            <w:r>
              <w:t xml:space="preserve">guidelines and consensus statements continue to recommend VKAs as the anticoagulant of choice for LVT after MI, but do recognize the conclusive safety and feasibility data emerging for DOACs. Practice statements highlight that, although evidence for DOACs is mounting, VKAs remain standard due to a longer track record and greater aggregated experience. The possibility of off-label DOAC use </w:t>
            </w:r>
            <w:r w:rsidR="0025150D">
              <w:t>has been</w:t>
            </w:r>
            <w:r>
              <w:t xml:space="preserve"> acknowledged, and the decision is left to clinician judgment, especially if VKA management is problematic or</w:t>
            </w:r>
            <w:r w:rsidR="00E649E5">
              <w:t xml:space="preserve"> </w:t>
            </w:r>
            <w:r>
              <w:t>bleeding/inconvenience is a major issue.</w:t>
            </w:r>
          </w:p>
        </w:tc>
      </w:tr>
      <w:tr w:rsidR="00434315" w:rsidRPr="007F6412" w14:paraId="3A5AB4C0" w14:textId="77777777" w:rsidTr="009A2E45">
        <w:trPr>
          <w:trHeight w:val="597"/>
        </w:trPr>
        <w:tc>
          <w:tcPr>
            <w:tcW w:w="941" w:type="pct"/>
            <w:tcBorders>
              <w:top w:val="single" w:sz="6" w:space="0" w:color="auto"/>
              <w:left w:val="single" w:sz="6" w:space="0" w:color="auto"/>
              <w:bottom w:val="single" w:sz="6" w:space="0" w:color="auto"/>
              <w:right w:val="single" w:sz="6" w:space="0" w:color="auto"/>
            </w:tcBorders>
          </w:tcPr>
          <w:p w14:paraId="6DA15E1D" w14:textId="6F77DAC3" w:rsidR="00434315" w:rsidRPr="000158AB" w:rsidRDefault="00434315" w:rsidP="007F6412">
            <w:pPr>
              <w:spacing w:before="240" w:line="240" w:lineRule="auto"/>
              <w:rPr>
                <w:rFonts w:eastAsia="Times New Roman" w:cs="Arial"/>
                <w:vertAlign w:val="superscript"/>
              </w:rPr>
            </w:pPr>
            <w:r w:rsidRPr="007F6412">
              <w:rPr>
                <w:rFonts w:eastAsia="Times New Roman" w:cs="Arial"/>
                <w:b/>
              </w:rPr>
              <w:lastRenderedPageBreak/>
              <w:t>Present Day or Future Studies</w:t>
            </w:r>
            <w:r w:rsidR="000158AB">
              <w:rPr>
                <w:rFonts w:eastAsia="Times New Roman" w:cs="Arial"/>
                <w:b/>
                <w:vertAlign w:val="superscript"/>
              </w:rPr>
              <w:t>3,</w:t>
            </w:r>
            <w:r w:rsidR="008F555B">
              <w:rPr>
                <w:rFonts w:eastAsia="Times New Roman" w:cs="Arial"/>
                <w:b/>
                <w:vertAlign w:val="superscript"/>
              </w:rPr>
              <w:t>6</w:t>
            </w:r>
            <w:r w:rsidR="00296786">
              <w:rPr>
                <w:rFonts w:eastAsia="Times New Roman" w:cs="Arial"/>
                <w:b/>
                <w:vertAlign w:val="superscript"/>
              </w:rPr>
              <w:t>,7</w:t>
            </w:r>
          </w:p>
        </w:tc>
        <w:tc>
          <w:tcPr>
            <w:tcW w:w="4059" w:type="pct"/>
            <w:tcBorders>
              <w:top w:val="single" w:sz="6" w:space="0" w:color="auto"/>
              <w:left w:val="single" w:sz="6" w:space="0" w:color="auto"/>
              <w:bottom w:val="single" w:sz="6" w:space="0" w:color="auto"/>
              <w:right w:val="single" w:sz="6" w:space="0" w:color="auto"/>
            </w:tcBorders>
          </w:tcPr>
          <w:p w14:paraId="62AE3059" w14:textId="166DB83B" w:rsidR="00296786" w:rsidRPr="00296786" w:rsidRDefault="00296786" w:rsidP="00296786">
            <w:pPr>
              <w:pStyle w:val="ListParagraph"/>
              <w:numPr>
                <w:ilvl w:val="0"/>
                <w:numId w:val="2"/>
              </w:numPr>
              <w:tabs>
                <w:tab w:val="left" w:pos="40"/>
              </w:tabs>
              <w:spacing w:before="240" w:line="240" w:lineRule="auto"/>
              <w:ind w:left="360"/>
              <w:contextualSpacing w:val="0"/>
              <w:rPr>
                <w:b/>
                <w:bCs/>
              </w:rPr>
            </w:pPr>
            <w:r>
              <w:t xml:space="preserve">The </w:t>
            </w:r>
            <w:r w:rsidRPr="00296786">
              <w:rPr>
                <w:b/>
                <w:bCs/>
              </w:rPr>
              <w:t>RIVAWAR</w:t>
            </w:r>
            <w:r>
              <w:rPr>
                <w:b/>
                <w:bCs/>
              </w:rPr>
              <w:t xml:space="preserve"> </w:t>
            </w:r>
            <w:r>
              <w:t xml:space="preserve">trial </w:t>
            </w:r>
            <w:r w:rsidRPr="00296786">
              <w:t>(“</w:t>
            </w:r>
            <w:r w:rsidRPr="00296786">
              <w:t>Rivaroxaban vs Warfarin in Acute Left Ventricular Thrombus</w:t>
            </w:r>
            <w:r w:rsidRPr="00296786">
              <w:t>”)</w:t>
            </w:r>
            <w:r>
              <w:rPr>
                <w:b/>
                <w:bCs/>
              </w:rPr>
              <w:t xml:space="preserve"> </w:t>
            </w:r>
            <w:r>
              <w:t xml:space="preserve">was a randomized study of 261 patients with acute </w:t>
            </w:r>
            <w:r>
              <w:t>LVT</w:t>
            </w:r>
            <w:r>
              <w:t xml:space="preserve"> after MI, comparing rivaroxaban to warfarin for 3 months. Thrombus resolution rates </w:t>
            </w:r>
            <w:r>
              <w:t>a</w:t>
            </w:r>
            <w:r>
              <w:t>t 4 weeks w</w:t>
            </w:r>
            <w:r>
              <w:t>ere</w:t>
            </w:r>
            <w:r>
              <w:t xml:space="preserve"> higher in the rivaroxaban group (20% vs 8%)</w:t>
            </w:r>
            <w:r>
              <w:t xml:space="preserve"> and </w:t>
            </w:r>
            <w:r>
              <w:t xml:space="preserve">at </w:t>
            </w:r>
            <w:r>
              <w:t>12 weeks</w:t>
            </w:r>
            <w:r>
              <w:t xml:space="preserve"> were nearly identical (95.8% vs 96.6%), with no significant differences in major bleeding, stroke, or mortality. Rivaroxaban was found to be non</w:t>
            </w:r>
            <w:r>
              <w:noBreakHyphen/>
              <w:t>inferior to warfarin and a viable alternative option.</w:t>
            </w:r>
          </w:p>
          <w:p w14:paraId="4E968CAB" w14:textId="77777777" w:rsidR="008F555B" w:rsidRPr="00C82757" w:rsidRDefault="000158AB" w:rsidP="00296786">
            <w:pPr>
              <w:pStyle w:val="ListParagraph"/>
              <w:numPr>
                <w:ilvl w:val="0"/>
                <w:numId w:val="2"/>
              </w:numPr>
              <w:tabs>
                <w:tab w:val="left" w:pos="40"/>
              </w:tabs>
              <w:spacing w:before="240" w:line="240" w:lineRule="auto"/>
              <w:ind w:left="360"/>
              <w:contextualSpacing w:val="0"/>
              <w:rPr>
                <w:rFonts w:eastAsia="Times New Roman" w:cs="Arial"/>
              </w:rPr>
            </w:pPr>
            <w:r w:rsidRPr="008F555B">
              <w:t xml:space="preserve">The </w:t>
            </w:r>
            <w:r w:rsidRPr="00296786">
              <w:rPr>
                <w:b/>
                <w:bCs/>
              </w:rPr>
              <w:t>DANCE</w:t>
            </w:r>
            <w:r w:rsidRPr="008F555B">
              <w:t xml:space="preserve"> trial ("Direct Oral Anticoagulation Versus Vitamin K Antagonist After Heart Valve Surgery") is registered and ongoing</w:t>
            </w:r>
            <w:r w:rsidRPr="008F555B">
              <w:t xml:space="preserve"> (currently recruiting)</w:t>
            </w:r>
            <w:r w:rsidRPr="008F555B">
              <w:t>, aiming to directly assess the safety of DOACs compared to VKAs in the early post-surgical period.</w:t>
            </w:r>
          </w:p>
          <w:p w14:paraId="570A1F2C" w14:textId="541BDED8" w:rsidR="00C82757" w:rsidRPr="008F555B" w:rsidRDefault="00C82757" w:rsidP="00296786">
            <w:pPr>
              <w:pStyle w:val="ListParagraph"/>
              <w:numPr>
                <w:ilvl w:val="0"/>
                <w:numId w:val="2"/>
              </w:numPr>
              <w:tabs>
                <w:tab w:val="left" w:pos="40"/>
              </w:tabs>
              <w:spacing w:before="240" w:line="240" w:lineRule="auto"/>
              <w:ind w:left="360"/>
              <w:contextualSpacing w:val="0"/>
              <w:rPr>
                <w:rFonts w:eastAsia="Times New Roman" w:cs="Arial"/>
              </w:rPr>
            </w:pPr>
            <w:r>
              <w:rPr>
                <w:rFonts w:eastAsia="Times New Roman" w:cs="Arial"/>
              </w:rPr>
              <w:t xml:space="preserve">With DOACs becoming off-patent soon (rivaroxaban 2025 and apixaban 2027-2028) there is </w:t>
            </w:r>
            <w:r>
              <w:t>limited commercial incentive for industry sponsorship</w:t>
            </w:r>
            <w:r>
              <w:t xml:space="preserve"> and academic studies</w:t>
            </w:r>
            <w:r>
              <w:t xml:space="preserve"> may lack the resources for a large, multicenter RCT in this niche area.</w:t>
            </w:r>
          </w:p>
        </w:tc>
      </w:tr>
      <w:tr w:rsidR="00434315" w:rsidRPr="007F6412" w14:paraId="41D44B85" w14:textId="77777777" w:rsidTr="009A2E45">
        <w:trPr>
          <w:trHeight w:val="297"/>
        </w:trPr>
        <w:tc>
          <w:tcPr>
            <w:tcW w:w="941" w:type="pct"/>
            <w:tcBorders>
              <w:top w:val="single" w:sz="6" w:space="0" w:color="auto"/>
              <w:left w:val="single" w:sz="6" w:space="0" w:color="auto"/>
              <w:bottom w:val="single" w:sz="6" w:space="0" w:color="auto"/>
              <w:right w:val="single" w:sz="6" w:space="0" w:color="auto"/>
            </w:tcBorders>
            <w:shd w:val="clear" w:color="auto" w:fill="000000"/>
          </w:tcPr>
          <w:p w14:paraId="44D4F474" w14:textId="77777777" w:rsidR="00434315" w:rsidRPr="007F6412" w:rsidRDefault="00434315" w:rsidP="007F6412">
            <w:pPr>
              <w:spacing w:before="240" w:line="240" w:lineRule="auto"/>
              <w:rPr>
                <w:rFonts w:eastAsia="Times New Roman" w:cs="Arial"/>
                <w:b/>
              </w:rPr>
            </w:pPr>
          </w:p>
        </w:tc>
        <w:tc>
          <w:tcPr>
            <w:tcW w:w="4059" w:type="pct"/>
            <w:tcBorders>
              <w:top w:val="single" w:sz="6" w:space="0" w:color="auto"/>
              <w:left w:val="single" w:sz="6" w:space="0" w:color="auto"/>
              <w:bottom w:val="single" w:sz="6" w:space="0" w:color="auto"/>
              <w:right w:val="single" w:sz="6" w:space="0" w:color="auto"/>
            </w:tcBorders>
            <w:shd w:val="clear" w:color="auto" w:fill="000000"/>
          </w:tcPr>
          <w:p w14:paraId="38B2E3A7" w14:textId="77777777" w:rsidR="00434315" w:rsidRPr="007F6412" w:rsidRDefault="00434315" w:rsidP="007F6412">
            <w:pPr>
              <w:spacing w:before="240" w:line="240" w:lineRule="auto"/>
              <w:ind w:left="-108" w:right="1422"/>
              <w:rPr>
                <w:rFonts w:eastAsia="Times New Roman" w:cs="Arial"/>
                <w:b/>
              </w:rPr>
            </w:pPr>
          </w:p>
        </w:tc>
      </w:tr>
    </w:tbl>
    <w:p w14:paraId="61ED6FF2" w14:textId="77777777" w:rsidR="008F555B" w:rsidRDefault="008F555B" w:rsidP="00434315">
      <w:pPr>
        <w:rPr>
          <w:rFonts w:cs="Arial"/>
        </w:rPr>
      </w:pPr>
    </w:p>
    <w:p w14:paraId="32240D70" w14:textId="512DB7B5" w:rsidR="00434315" w:rsidRPr="000158AB" w:rsidRDefault="00434315" w:rsidP="00434315">
      <w:pPr>
        <w:rPr>
          <w:rFonts w:cs="Arial"/>
        </w:rPr>
      </w:pPr>
      <w:r w:rsidRPr="000158AB">
        <w:rPr>
          <w:rFonts w:cs="Arial"/>
        </w:rPr>
        <w:t>References:</w:t>
      </w:r>
    </w:p>
    <w:p w14:paraId="00B70934" w14:textId="5A2D51F4" w:rsidR="000A2178" w:rsidRPr="008F555B" w:rsidRDefault="000A2178" w:rsidP="000A2178">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0158AB">
        <w:rPr>
          <w:rFonts w:eastAsia="Times New Roman" w:cs="Calibri"/>
          <w:color w:val="000000"/>
          <w14:ligatures w14:val="standardContextual"/>
        </w:rPr>
        <w:t xml:space="preserve">Gogos C, Anastasiou V, Papazoglou AS, et al. Direct Oral Anticoagulants versus Vitamin K </w:t>
      </w:r>
      <w:r w:rsidRPr="008F555B">
        <w:rPr>
          <w:rFonts w:eastAsia="Times New Roman" w:cs="Calibri"/>
          <w:color w:val="000000"/>
          <w14:ligatures w14:val="standardContextual"/>
        </w:rPr>
        <w:t xml:space="preserve">Antagonists for the Management of Left Ventricular Thrombus after Myocardial Infarction: A Meta-analysis. </w:t>
      </w:r>
      <w:r w:rsidRPr="008F555B">
        <w:rPr>
          <w:rFonts w:eastAsia="Times New Roman" w:cs="Calibri"/>
          <w:i/>
          <w:iCs/>
          <w:color w:val="000000"/>
          <w14:ligatures w14:val="standardContextual"/>
        </w:rPr>
        <w:t>The American Journal of Cardiology</w:t>
      </w:r>
      <w:r w:rsidRPr="008F555B">
        <w:rPr>
          <w:rFonts w:eastAsia="Times New Roman" w:cs="Calibri"/>
          <w:color w:val="000000"/>
          <w14:ligatures w14:val="standardContextual"/>
        </w:rPr>
        <w:t xml:space="preserve">. Published online September 1, 2024. </w:t>
      </w:r>
      <w:proofErr w:type="spellStart"/>
      <w:r w:rsidRPr="008F555B">
        <w:rPr>
          <w:rFonts w:eastAsia="Times New Roman" w:cs="Calibri"/>
          <w:color w:val="000000"/>
          <w14:ligatures w14:val="standardContextual"/>
        </w:rPr>
        <w:t>doi</w:t>
      </w:r>
      <w:proofErr w:type="spellEnd"/>
      <w:r w:rsidRPr="008F555B">
        <w:rPr>
          <w:rFonts w:eastAsia="Times New Roman" w:cs="Calibri"/>
          <w:color w:val="000000"/>
          <w14:ligatures w14:val="standardContextual"/>
        </w:rPr>
        <w:t xml:space="preserve">: </w:t>
      </w:r>
      <w:hyperlink r:id="rId10" w:history="1">
        <w:r w:rsidRPr="008F555B">
          <w:rPr>
            <w:rStyle w:val="Hyperlink"/>
            <w:rFonts w:eastAsia="Times New Roman" w:cs="Calibri"/>
            <w14:ligatures w14:val="standardContextual"/>
          </w:rPr>
          <w:t>https://doi.org/10.1016/j.amjcard.2024.09.008</w:t>
        </w:r>
      </w:hyperlink>
    </w:p>
    <w:p w14:paraId="094036D5" w14:textId="61C87FEB" w:rsidR="000A2178" w:rsidRPr="008F555B" w:rsidRDefault="000A2178" w:rsidP="000A2178">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8F555B">
        <w:rPr>
          <w:rFonts w:eastAsia="Times New Roman" w:cs="Calibri"/>
          <w:color w:val="000000"/>
          <w14:ligatures w14:val="standardContextual"/>
        </w:rPr>
        <w:t xml:space="preserve">Zhang Q, Zhang Z, Zheng H, et al. Rivaroxaban in heart failure patients with left ventricular thrombus: A retrospective study. Frontiers in Pharmacology. </w:t>
      </w:r>
      <w:proofErr w:type="gramStart"/>
      <w:r w:rsidRPr="008F555B">
        <w:rPr>
          <w:rFonts w:eastAsia="Times New Roman" w:cs="Calibri"/>
          <w:color w:val="000000"/>
          <w14:ligatures w14:val="standardContextual"/>
        </w:rPr>
        <w:t>2022;13:1008031</w:t>
      </w:r>
      <w:proofErr w:type="gramEnd"/>
      <w:r w:rsidRPr="008F555B">
        <w:rPr>
          <w:rFonts w:eastAsia="Times New Roman" w:cs="Calibri"/>
          <w:color w:val="000000"/>
          <w14:ligatures w14:val="standardContextual"/>
        </w:rPr>
        <w:t xml:space="preserve">. </w:t>
      </w:r>
      <w:proofErr w:type="spellStart"/>
      <w:r w:rsidRPr="008F555B">
        <w:rPr>
          <w:rFonts w:eastAsia="Times New Roman" w:cs="Calibri"/>
          <w:color w:val="000000"/>
          <w14:ligatures w14:val="standardContextual"/>
        </w:rPr>
        <w:t>doi</w:t>
      </w:r>
      <w:proofErr w:type="spellEnd"/>
      <w:r w:rsidRPr="008F555B">
        <w:rPr>
          <w:rFonts w:eastAsia="Times New Roman" w:cs="Calibri"/>
          <w:color w:val="000000"/>
          <w14:ligatures w14:val="standardContextual"/>
        </w:rPr>
        <w:t xml:space="preserve">: </w:t>
      </w:r>
      <w:hyperlink r:id="rId11" w:history="1">
        <w:r w:rsidRPr="00A94038">
          <w:rPr>
            <w:color w:val="000000"/>
            <w:u w:val="single"/>
          </w:rPr>
          <w:t>https://doi.org/10.3389/fphar.2022.1008031</w:t>
        </w:r>
      </w:hyperlink>
    </w:p>
    <w:p w14:paraId="2EA07892" w14:textId="305E6C62" w:rsidR="000A2178" w:rsidRPr="008F555B" w:rsidRDefault="000158AB" w:rsidP="000A2178">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8F555B">
        <w:rPr>
          <w:rFonts w:eastAsia="Times New Roman" w:cs="Calibri"/>
          <w:color w:val="000000"/>
          <w14:ligatures w14:val="standardContextual"/>
        </w:rPr>
        <w:t xml:space="preserve">Perplexity AI. </w:t>
      </w:r>
      <w:hyperlink r:id="rId12" w:history="1">
        <w:r w:rsidRPr="00A94038">
          <w:rPr>
            <w:color w:val="000000"/>
            <w:u w:val="single"/>
          </w:rPr>
          <w:t>https://www.perplexity.ai/</w:t>
        </w:r>
      </w:hyperlink>
    </w:p>
    <w:p w14:paraId="1E7966B7" w14:textId="0545F5F4" w:rsidR="008F555B" w:rsidRPr="008F555B" w:rsidRDefault="008F555B" w:rsidP="008F555B">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8F555B">
        <w:rPr>
          <w:rFonts w:eastAsia="Times New Roman" w:cs="Calibri"/>
          <w:color w:val="000000"/>
          <w14:ligatures w14:val="standardContextual"/>
        </w:rPr>
        <w:t>Taha Al-</w:t>
      </w:r>
      <w:proofErr w:type="spellStart"/>
      <w:r w:rsidRPr="008F555B">
        <w:rPr>
          <w:rFonts w:eastAsia="Times New Roman" w:cs="Calibri"/>
          <w:color w:val="000000"/>
          <w14:ligatures w14:val="standardContextual"/>
        </w:rPr>
        <w:t>Maimoony</w:t>
      </w:r>
      <w:proofErr w:type="spellEnd"/>
      <w:r w:rsidRPr="008F555B">
        <w:rPr>
          <w:rFonts w:eastAsia="Times New Roman" w:cs="Calibri"/>
          <w:color w:val="000000"/>
          <w14:ligatures w14:val="standardContextual"/>
        </w:rPr>
        <w:t xml:space="preserve">, Khairallah Al-Matari, </w:t>
      </w:r>
      <w:proofErr w:type="spellStart"/>
      <w:r w:rsidRPr="008F555B">
        <w:rPr>
          <w:rFonts w:eastAsia="Times New Roman" w:cs="Calibri"/>
          <w:color w:val="000000"/>
          <w14:ligatures w14:val="standardContextual"/>
        </w:rPr>
        <w:t>Abdulhafeedh</w:t>
      </w:r>
      <w:proofErr w:type="spellEnd"/>
      <w:r w:rsidRPr="008F555B">
        <w:rPr>
          <w:rFonts w:eastAsia="Times New Roman" w:cs="Calibri"/>
          <w:color w:val="000000"/>
          <w14:ligatures w14:val="standardContextual"/>
        </w:rPr>
        <w:t xml:space="preserve"> Al-</w:t>
      </w:r>
      <w:proofErr w:type="spellStart"/>
      <w:r w:rsidRPr="008F555B">
        <w:rPr>
          <w:rFonts w:eastAsia="Times New Roman" w:cs="Calibri"/>
          <w:color w:val="000000"/>
          <w14:ligatures w14:val="standardContextual"/>
        </w:rPr>
        <w:t>Habeet</w:t>
      </w:r>
      <w:proofErr w:type="spellEnd"/>
      <w:r w:rsidRPr="008F555B">
        <w:rPr>
          <w:rFonts w:eastAsia="Times New Roman" w:cs="Calibri"/>
          <w:color w:val="000000"/>
          <w14:ligatures w14:val="standardContextual"/>
        </w:rPr>
        <w:t xml:space="preserve">, </w:t>
      </w:r>
      <w:proofErr w:type="spellStart"/>
      <w:r w:rsidRPr="008F555B">
        <w:rPr>
          <w:rFonts w:eastAsia="Times New Roman" w:cs="Calibri"/>
          <w:color w:val="000000"/>
          <w14:ligatures w14:val="standardContextual"/>
        </w:rPr>
        <w:t>Nouradden</w:t>
      </w:r>
      <w:proofErr w:type="spellEnd"/>
      <w:r w:rsidRPr="008F555B">
        <w:rPr>
          <w:rFonts w:eastAsia="Times New Roman" w:cs="Calibri"/>
          <w:color w:val="000000"/>
          <w14:ligatures w14:val="standardContextual"/>
        </w:rPr>
        <w:t xml:space="preserve"> Noman Aljaber, Mohamad Al-</w:t>
      </w:r>
      <w:proofErr w:type="spellStart"/>
      <w:r w:rsidRPr="008F555B">
        <w:rPr>
          <w:rFonts w:eastAsia="Times New Roman" w:cs="Calibri"/>
          <w:color w:val="000000"/>
          <w14:ligatures w14:val="standardContextual"/>
        </w:rPr>
        <w:t>Marwala</w:t>
      </w:r>
      <w:proofErr w:type="spellEnd"/>
      <w:r w:rsidRPr="008F555B">
        <w:rPr>
          <w:rFonts w:eastAsia="Times New Roman" w:cs="Calibri"/>
          <w:color w:val="000000"/>
          <w14:ligatures w14:val="standardContextual"/>
        </w:rPr>
        <w:t xml:space="preserve">, Salah Al-Hashmi. Efficacy and safety of off-label direct oral anticoagulants vs. warfarin for left ventricular thrombus: an inverse probability of treatment weighting analysis. Frontiers in Cardiovascular Medicine. 2025;12. </w:t>
      </w:r>
      <w:proofErr w:type="spellStart"/>
      <w:r w:rsidRPr="008F555B">
        <w:rPr>
          <w:rFonts w:eastAsia="Times New Roman" w:cs="Calibri"/>
          <w:color w:val="000000"/>
          <w14:ligatures w14:val="standardContextual"/>
        </w:rPr>
        <w:t>doi</w:t>
      </w:r>
      <w:proofErr w:type="spellEnd"/>
      <w:r w:rsidRPr="008F555B">
        <w:rPr>
          <w:rFonts w:eastAsia="Times New Roman" w:cs="Calibri"/>
          <w:color w:val="000000"/>
          <w14:ligatures w14:val="standardContextual"/>
        </w:rPr>
        <w:t>:</w:t>
      </w:r>
      <w:r w:rsidRPr="008F555B">
        <w:rPr>
          <w:rFonts w:eastAsia="Times New Roman" w:cs="Calibri"/>
          <w:color w:val="000000"/>
          <w14:ligatures w14:val="standardContextual"/>
        </w:rPr>
        <w:t xml:space="preserve"> </w:t>
      </w:r>
      <w:hyperlink r:id="rId13" w:history="1">
        <w:r w:rsidRPr="00A94038">
          <w:rPr>
            <w:color w:val="000000"/>
            <w:u w:val="single"/>
          </w:rPr>
          <w:t>https://doi.org/10.3389/fcvm.2025.1465866</w:t>
        </w:r>
      </w:hyperlink>
    </w:p>
    <w:p w14:paraId="68C4FCBB" w14:textId="7EF61996" w:rsidR="008F555B" w:rsidRPr="008F555B" w:rsidRDefault="008F555B" w:rsidP="008F555B">
      <w:pPr>
        <w:pStyle w:val="ListParagraph"/>
        <w:numPr>
          <w:ilvl w:val="0"/>
          <w:numId w:val="11"/>
        </w:numPr>
        <w:shd w:val="clear" w:color="auto" w:fill="FFFFFF"/>
        <w:spacing w:after="0" w:line="240" w:lineRule="auto"/>
        <w:rPr>
          <w:rFonts w:eastAsia="Times New Roman" w:cs="Calibri"/>
          <w:color w:val="000000"/>
          <w14:ligatures w14:val="standardContextual"/>
        </w:rPr>
      </w:pPr>
      <w:r w:rsidRPr="008F555B">
        <w:rPr>
          <w:rFonts w:eastAsia="Times New Roman" w:cs="Calibri"/>
          <w:color w:val="000000"/>
          <w14:ligatures w14:val="standardContextual"/>
        </w:rPr>
        <w:t xml:space="preserve">Management of Patients at Risk for and With LV Thrombus: Key Points. American College of Cardiology. </w:t>
      </w:r>
      <w:hyperlink r:id="rId14" w:history="1">
        <w:r w:rsidRPr="008F555B">
          <w:rPr>
            <w:rStyle w:val="Hyperlink"/>
            <w:rFonts w:eastAsia="Times New Roman" w:cs="Calibri"/>
            <w14:ligatures w14:val="standardContextual"/>
          </w:rPr>
          <w:t>https://www.acc.org/latest-in-cardiology/ten-points-to-remember/2022/09/23/13/56/management-of-patients-at-risk</w:t>
        </w:r>
      </w:hyperlink>
    </w:p>
    <w:p w14:paraId="5C4C3685" w14:textId="77777777" w:rsidR="008F555B" w:rsidRPr="008F555B" w:rsidRDefault="008F555B" w:rsidP="008F555B">
      <w:pPr>
        <w:shd w:val="clear" w:color="auto" w:fill="FFFFFF"/>
        <w:spacing w:after="0" w:line="240" w:lineRule="auto"/>
        <w:rPr>
          <w:rFonts w:eastAsia="Times New Roman" w:cs="Calibri"/>
          <w:color w:val="000000"/>
          <w14:ligatures w14:val="standardContextual"/>
        </w:rPr>
      </w:pPr>
    </w:p>
    <w:p w14:paraId="2FBDD22E" w14:textId="05B1302E" w:rsidR="00A94038" w:rsidRPr="00A94038" w:rsidRDefault="000158AB" w:rsidP="00A94038">
      <w:pPr>
        <w:pStyle w:val="ListParagraph"/>
        <w:numPr>
          <w:ilvl w:val="0"/>
          <w:numId w:val="11"/>
        </w:numPr>
        <w:shd w:val="clear" w:color="auto" w:fill="FFFFFF"/>
        <w:spacing w:line="240" w:lineRule="auto"/>
        <w:contextualSpacing w:val="0"/>
        <w:rPr>
          <w:color w:val="000000"/>
        </w:rPr>
      </w:pPr>
      <w:r w:rsidRPr="00A94038">
        <w:rPr>
          <w:color w:val="000000"/>
        </w:rPr>
        <w:t xml:space="preserve">Clinicaltrials.gov. Published 2025. Accessed August 11, 2025. </w:t>
      </w:r>
      <w:hyperlink r:id="rId15" w:history="1">
        <w:r w:rsidRPr="00A94038">
          <w:rPr>
            <w:color w:val="000000"/>
            <w:u w:val="single"/>
          </w:rPr>
          <w:t>http</w:t>
        </w:r>
        <w:r w:rsidRPr="00A94038">
          <w:rPr>
            <w:color w:val="000000"/>
            <w:u w:val="single"/>
          </w:rPr>
          <w:t>s</w:t>
        </w:r>
        <w:r w:rsidRPr="00A94038">
          <w:rPr>
            <w:color w:val="000000"/>
            <w:u w:val="single"/>
          </w:rPr>
          <w:t>://clinicaltrials.gov/study/NCT04284839</w:t>
        </w:r>
      </w:hyperlink>
    </w:p>
    <w:p w14:paraId="59CB4640" w14:textId="1C979271" w:rsidR="00A94038" w:rsidRDefault="00A94038" w:rsidP="00A94038">
      <w:pPr>
        <w:pStyle w:val="ListParagraph"/>
        <w:numPr>
          <w:ilvl w:val="0"/>
          <w:numId w:val="11"/>
        </w:numPr>
        <w:shd w:val="clear" w:color="auto" w:fill="FFFFFF"/>
        <w:spacing w:line="240" w:lineRule="auto"/>
        <w:contextualSpacing w:val="0"/>
        <w:rPr>
          <w:color w:val="000000"/>
        </w:rPr>
      </w:pPr>
      <w:r w:rsidRPr="00A94038">
        <w:rPr>
          <w:color w:val="000000"/>
        </w:rPr>
        <w:t xml:space="preserve">Shah JA, Hussain J, Ahmed B, et al. Rivaroxaban vs Warfarin in Acute Left Ventricular Thrombus Following Myocardial Infarction: RIVAWAR, An Open-Label RCT. JACC: Advances. 2025;4(8):101978. </w:t>
      </w:r>
      <w:proofErr w:type="spellStart"/>
      <w:r w:rsidRPr="00A94038">
        <w:rPr>
          <w:color w:val="000000"/>
        </w:rPr>
        <w:t>doi</w:t>
      </w:r>
      <w:proofErr w:type="spellEnd"/>
      <w:r w:rsidRPr="00A94038">
        <w:rPr>
          <w:color w:val="000000"/>
        </w:rPr>
        <w:t>:</w:t>
      </w:r>
      <w:r w:rsidRPr="00A94038">
        <w:rPr>
          <w:color w:val="000000"/>
        </w:rPr>
        <w:t xml:space="preserve"> </w:t>
      </w:r>
      <w:hyperlink r:id="rId16" w:history="1">
        <w:r w:rsidRPr="00A94038">
          <w:rPr>
            <w:color w:val="000000"/>
            <w:u w:val="single"/>
          </w:rPr>
          <w:t>https://doi.org/10.1016/j.jacadv.2025.101978</w:t>
        </w:r>
      </w:hyperlink>
    </w:p>
    <w:p w14:paraId="0041BBC8" w14:textId="77777777" w:rsidR="00A94038" w:rsidRPr="00A94038" w:rsidRDefault="00A94038" w:rsidP="00A94038">
      <w:pPr>
        <w:shd w:val="clear" w:color="auto" w:fill="FFFFFF"/>
        <w:spacing w:line="240" w:lineRule="auto"/>
        <w:ind w:left="360"/>
        <w:rPr>
          <w:color w:val="000000"/>
        </w:rPr>
      </w:pPr>
    </w:p>
    <w:p w14:paraId="2BD0D716" w14:textId="77777777" w:rsidR="00EB710F" w:rsidRPr="000158AB" w:rsidRDefault="00EB710F" w:rsidP="00EB710F">
      <w:pPr>
        <w:rPr>
          <w:rFonts w:cs="Arial"/>
        </w:rPr>
      </w:pPr>
    </w:p>
    <w:p w14:paraId="37604EA6" w14:textId="3923F9AE" w:rsidR="00EB710F" w:rsidRPr="000158AB" w:rsidRDefault="008F555B" w:rsidP="00EB710F">
      <w:pPr>
        <w:rPr>
          <w:rFonts w:cs="Arial"/>
        </w:rPr>
      </w:pPr>
      <w:r>
        <w:fldChar w:fldCharType="begin"/>
      </w:r>
      <w:r>
        <w:instrText xml:space="preserve"> INCLUDEPICTURE "https://ars.els-cdn.com/content/image/1-s2.0-S0002914924006866-ga1_lrg.jpg" \* MERGEFORMATINET </w:instrText>
      </w:r>
      <w:r>
        <w:fldChar w:fldCharType="separate"/>
      </w:r>
      <w:r>
        <w:rPr>
          <w:noProof/>
        </w:rPr>
        <w:drawing>
          <wp:inline distT="0" distB="0" distL="0" distR="0" wp14:anchorId="2F945DE1" wp14:editId="342E6712">
            <wp:extent cx="5943600" cy="4078605"/>
            <wp:effectExtent l="0" t="0" r="0" b="0"/>
            <wp:docPr id="1380237077" name="Picture 17"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37077" name="Picture 17" descr="A close-up of an ultras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78605"/>
                    </a:xfrm>
                    <a:prstGeom prst="rect">
                      <a:avLst/>
                    </a:prstGeom>
                    <a:noFill/>
                    <a:ln>
                      <a:noFill/>
                    </a:ln>
                  </pic:spPr>
                </pic:pic>
              </a:graphicData>
            </a:graphic>
          </wp:inline>
        </w:drawing>
      </w:r>
      <w:r>
        <w:fldChar w:fldCharType="end"/>
      </w:r>
    </w:p>
    <w:p w14:paraId="2D7B9258" w14:textId="77777777" w:rsidR="00434315" w:rsidRPr="000158AB" w:rsidRDefault="00434315"/>
    <w:sectPr w:rsidR="00434315" w:rsidRPr="000158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9D1"/>
    <w:multiLevelType w:val="hybridMultilevel"/>
    <w:tmpl w:val="8180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91DB9"/>
    <w:multiLevelType w:val="hybridMultilevel"/>
    <w:tmpl w:val="E04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E4612"/>
    <w:multiLevelType w:val="hybridMultilevel"/>
    <w:tmpl w:val="EA72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F007D"/>
    <w:multiLevelType w:val="hybridMultilevel"/>
    <w:tmpl w:val="F1E0E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F177FE"/>
    <w:multiLevelType w:val="hybridMultilevel"/>
    <w:tmpl w:val="1AE6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DE0FF8"/>
    <w:multiLevelType w:val="hybridMultilevel"/>
    <w:tmpl w:val="89E834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6F556B7"/>
    <w:multiLevelType w:val="hybridMultilevel"/>
    <w:tmpl w:val="0A1AC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E8520B"/>
    <w:multiLevelType w:val="hybridMultilevel"/>
    <w:tmpl w:val="7E9A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75598"/>
    <w:multiLevelType w:val="hybridMultilevel"/>
    <w:tmpl w:val="BA76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47B4A"/>
    <w:multiLevelType w:val="hybridMultilevel"/>
    <w:tmpl w:val="30220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95ABF"/>
    <w:multiLevelType w:val="hybridMultilevel"/>
    <w:tmpl w:val="1D9A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7F3E2A"/>
    <w:multiLevelType w:val="hybridMultilevel"/>
    <w:tmpl w:val="1FA0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542033">
    <w:abstractNumId w:val="5"/>
  </w:num>
  <w:num w:numId="2" w16cid:durableId="1267538702">
    <w:abstractNumId w:val="8"/>
  </w:num>
  <w:num w:numId="3" w16cid:durableId="316032503">
    <w:abstractNumId w:val="11"/>
  </w:num>
  <w:num w:numId="4" w16cid:durableId="219830519">
    <w:abstractNumId w:val="6"/>
  </w:num>
  <w:num w:numId="5" w16cid:durableId="1665738470">
    <w:abstractNumId w:val="3"/>
  </w:num>
  <w:num w:numId="6" w16cid:durableId="402872819">
    <w:abstractNumId w:val="0"/>
  </w:num>
  <w:num w:numId="7" w16cid:durableId="335425967">
    <w:abstractNumId w:val="4"/>
  </w:num>
  <w:num w:numId="8" w16cid:durableId="1295260090">
    <w:abstractNumId w:val="2"/>
  </w:num>
  <w:num w:numId="9" w16cid:durableId="225068298">
    <w:abstractNumId w:val="10"/>
  </w:num>
  <w:num w:numId="10" w16cid:durableId="152718055">
    <w:abstractNumId w:val="7"/>
  </w:num>
  <w:num w:numId="11" w16cid:durableId="820464079">
    <w:abstractNumId w:val="9"/>
  </w:num>
  <w:num w:numId="12" w16cid:durableId="395472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315"/>
    <w:rsid w:val="000158AB"/>
    <w:rsid w:val="00030ED4"/>
    <w:rsid w:val="000A2178"/>
    <w:rsid w:val="000A40F3"/>
    <w:rsid w:val="00101C76"/>
    <w:rsid w:val="001C206C"/>
    <w:rsid w:val="0025150D"/>
    <w:rsid w:val="00296786"/>
    <w:rsid w:val="003F2925"/>
    <w:rsid w:val="00416E83"/>
    <w:rsid w:val="00434315"/>
    <w:rsid w:val="00481698"/>
    <w:rsid w:val="005335D5"/>
    <w:rsid w:val="005C06C5"/>
    <w:rsid w:val="00703C9B"/>
    <w:rsid w:val="0079113D"/>
    <w:rsid w:val="007E64ED"/>
    <w:rsid w:val="007F6412"/>
    <w:rsid w:val="00817832"/>
    <w:rsid w:val="008F555B"/>
    <w:rsid w:val="009524F7"/>
    <w:rsid w:val="00991119"/>
    <w:rsid w:val="009A2E45"/>
    <w:rsid w:val="00A43044"/>
    <w:rsid w:val="00A94038"/>
    <w:rsid w:val="00AC7B25"/>
    <w:rsid w:val="00B01568"/>
    <w:rsid w:val="00BB640B"/>
    <w:rsid w:val="00C82757"/>
    <w:rsid w:val="00D52608"/>
    <w:rsid w:val="00DA71AD"/>
    <w:rsid w:val="00E13765"/>
    <w:rsid w:val="00E14CC5"/>
    <w:rsid w:val="00E649E5"/>
    <w:rsid w:val="00E8069D"/>
    <w:rsid w:val="00EB710F"/>
    <w:rsid w:val="00EF00F8"/>
    <w:rsid w:val="00F36D08"/>
    <w:rsid w:val="00FA5DA6"/>
    <w:rsid w:val="00FC0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FB27A"/>
  <w15:chartTrackingRefBased/>
  <w15:docId w15:val="{C21E4F69-9DF3-3141-A93C-8B698F05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315"/>
    <w:pPr>
      <w:spacing w:line="256" w:lineRule="auto"/>
    </w:pPr>
    <w:rPr>
      <w:kern w:val="0"/>
      <w:sz w:val="22"/>
      <w:szCs w:val="22"/>
      <w14:ligatures w14:val="none"/>
    </w:rPr>
  </w:style>
  <w:style w:type="paragraph" w:styleId="Heading1">
    <w:name w:val="heading 1"/>
    <w:basedOn w:val="Normal"/>
    <w:next w:val="Normal"/>
    <w:link w:val="Heading1Char"/>
    <w:uiPriority w:val="9"/>
    <w:qFormat/>
    <w:rsid w:val="00296786"/>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4315"/>
    <w:pPr>
      <w:spacing w:after="0" w:line="240" w:lineRule="auto"/>
    </w:pPr>
    <w:rPr>
      <w:kern w:val="0"/>
      <w:sz w:val="22"/>
      <w:szCs w:val="22"/>
      <w14:ligatures w14:val="none"/>
    </w:rPr>
  </w:style>
  <w:style w:type="paragraph" w:styleId="ListParagraph">
    <w:name w:val="List Paragraph"/>
    <w:basedOn w:val="Normal"/>
    <w:uiPriority w:val="34"/>
    <w:qFormat/>
    <w:rsid w:val="00434315"/>
    <w:pPr>
      <w:ind w:left="720"/>
      <w:contextualSpacing/>
    </w:pPr>
  </w:style>
  <w:style w:type="character" w:styleId="Hyperlink">
    <w:name w:val="Hyperlink"/>
    <w:basedOn w:val="DefaultParagraphFont"/>
    <w:uiPriority w:val="99"/>
    <w:unhideWhenUsed/>
    <w:rsid w:val="00434315"/>
    <w:rPr>
      <w:color w:val="467886" w:themeColor="hyperlink"/>
      <w:u w:val="single"/>
    </w:rPr>
  </w:style>
  <w:style w:type="character" w:styleId="Strong">
    <w:name w:val="Strong"/>
    <w:basedOn w:val="DefaultParagraphFont"/>
    <w:uiPriority w:val="22"/>
    <w:qFormat/>
    <w:rsid w:val="009524F7"/>
    <w:rPr>
      <w:b/>
      <w:bCs/>
    </w:rPr>
  </w:style>
  <w:style w:type="character" w:customStyle="1" w:styleId="anchor-text">
    <w:name w:val="anchor-text"/>
    <w:basedOn w:val="DefaultParagraphFont"/>
    <w:rsid w:val="009524F7"/>
  </w:style>
  <w:style w:type="character" w:styleId="UnresolvedMention">
    <w:name w:val="Unresolved Mention"/>
    <w:basedOn w:val="DefaultParagraphFont"/>
    <w:uiPriority w:val="99"/>
    <w:semiHidden/>
    <w:unhideWhenUsed/>
    <w:rsid w:val="00FC077E"/>
    <w:rPr>
      <w:color w:val="605E5C"/>
      <w:shd w:val="clear" w:color="auto" w:fill="E1DFDD"/>
    </w:rPr>
  </w:style>
  <w:style w:type="paragraph" w:customStyle="1" w:styleId="my-0">
    <w:name w:val="my-0"/>
    <w:basedOn w:val="Normal"/>
    <w:rsid w:val="00DA71AD"/>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Emphasis">
    <w:name w:val="Emphasis"/>
    <w:basedOn w:val="DefaultParagraphFont"/>
    <w:uiPriority w:val="20"/>
    <w:qFormat/>
    <w:rsid w:val="005C06C5"/>
    <w:rPr>
      <w:i/>
      <w:iCs/>
    </w:rPr>
  </w:style>
  <w:style w:type="character" w:customStyle="1" w:styleId="muitypography-root">
    <w:name w:val="muitypography-root"/>
    <w:basedOn w:val="DefaultParagraphFont"/>
    <w:rsid w:val="00030ED4"/>
  </w:style>
  <w:style w:type="paragraph" w:styleId="NormalWeb">
    <w:name w:val="Normal (Web)"/>
    <w:basedOn w:val="Normal"/>
    <w:uiPriority w:val="99"/>
    <w:semiHidden/>
    <w:unhideWhenUsed/>
    <w:rsid w:val="000A217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FollowedHyperlink">
    <w:name w:val="FollowedHyperlink"/>
    <w:basedOn w:val="DefaultParagraphFont"/>
    <w:uiPriority w:val="99"/>
    <w:semiHidden/>
    <w:unhideWhenUsed/>
    <w:rsid w:val="000158AB"/>
    <w:rPr>
      <w:color w:val="96607D" w:themeColor="followedHyperlink"/>
      <w:u w:val="single"/>
    </w:rPr>
  </w:style>
  <w:style w:type="character" w:customStyle="1" w:styleId="Heading1Char">
    <w:name w:val="Heading 1 Char"/>
    <w:basedOn w:val="DefaultParagraphFont"/>
    <w:link w:val="Heading1"/>
    <w:uiPriority w:val="9"/>
    <w:rsid w:val="00296786"/>
    <w:rPr>
      <w:rFonts w:asciiTheme="majorHAnsi" w:eastAsiaTheme="majorEastAsia" w:hAnsiTheme="majorHAnsi" w:cstheme="majorBidi"/>
      <w:color w:val="0F4761"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71968">
      <w:bodyDiv w:val="1"/>
      <w:marLeft w:val="0"/>
      <w:marRight w:val="0"/>
      <w:marTop w:val="0"/>
      <w:marBottom w:val="0"/>
      <w:divBdr>
        <w:top w:val="none" w:sz="0" w:space="0" w:color="auto"/>
        <w:left w:val="none" w:sz="0" w:space="0" w:color="auto"/>
        <w:bottom w:val="none" w:sz="0" w:space="0" w:color="auto"/>
        <w:right w:val="none" w:sz="0" w:space="0" w:color="auto"/>
      </w:divBdr>
    </w:div>
    <w:div w:id="172961857">
      <w:bodyDiv w:val="1"/>
      <w:marLeft w:val="0"/>
      <w:marRight w:val="0"/>
      <w:marTop w:val="0"/>
      <w:marBottom w:val="0"/>
      <w:divBdr>
        <w:top w:val="none" w:sz="0" w:space="0" w:color="auto"/>
        <w:left w:val="none" w:sz="0" w:space="0" w:color="auto"/>
        <w:bottom w:val="none" w:sz="0" w:space="0" w:color="auto"/>
        <w:right w:val="none" w:sz="0" w:space="0" w:color="auto"/>
      </w:divBdr>
    </w:div>
    <w:div w:id="321544932">
      <w:bodyDiv w:val="1"/>
      <w:marLeft w:val="0"/>
      <w:marRight w:val="0"/>
      <w:marTop w:val="0"/>
      <w:marBottom w:val="0"/>
      <w:divBdr>
        <w:top w:val="none" w:sz="0" w:space="0" w:color="auto"/>
        <w:left w:val="none" w:sz="0" w:space="0" w:color="auto"/>
        <w:bottom w:val="none" w:sz="0" w:space="0" w:color="auto"/>
        <w:right w:val="none" w:sz="0" w:space="0" w:color="auto"/>
      </w:divBdr>
      <w:divsChild>
        <w:div w:id="1676032742">
          <w:marLeft w:val="0"/>
          <w:marRight w:val="0"/>
          <w:marTop w:val="0"/>
          <w:marBottom w:val="0"/>
          <w:divBdr>
            <w:top w:val="none" w:sz="0" w:space="0" w:color="auto"/>
            <w:left w:val="none" w:sz="0" w:space="0" w:color="auto"/>
            <w:bottom w:val="none" w:sz="0" w:space="0" w:color="auto"/>
            <w:right w:val="none" w:sz="0" w:space="0" w:color="auto"/>
          </w:divBdr>
          <w:divsChild>
            <w:div w:id="939459542">
              <w:marLeft w:val="0"/>
              <w:marRight w:val="0"/>
              <w:marTop w:val="0"/>
              <w:marBottom w:val="0"/>
              <w:divBdr>
                <w:top w:val="none" w:sz="0" w:space="0" w:color="auto"/>
                <w:left w:val="none" w:sz="0" w:space="0" w:color="auto"/>
                <w:bottom w:val="none" w:sz="0" w:space="0" w:color="auto"/>
                <w:right w:val="none" w:sz="0" w:space="0" w:color="auto"/>
              </w:divBdr>
            </w:div>
            <w:div w:id="5765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00984">
      <w:bodyDiv w:val="1"/>
      <w:marLeft w:val="0"/>
      <w:marRight w:val="0"/>
      <w:marTop w:val="0"/>
      <w:marBottom w:val="0"/>
      <w:divBdr>
        <w:top w:val="none" w:sz="0" w:space="0" w:color="auto"/>
        <w:left w:val="none" w:sz="0" w:space="0" w:color="auto"/>
        <w:bottom w:val="none" w:sz="0" w:space="0" w:color="auto"/>
        <w:right w:val="none" w:sz="0" w:space="0" w:color="auto"/>
      </w:divBdr>
      <w:divsChild>
        <w:div w:id="341277765">
          <w:marLeft w:val="0"/>
          <w:marRight w:val="0"/>
          <w:marTop w:val="0"/>
          <w:marBottom w:val="0"/>
          <w:divBdr>
            <w:top w:val="none" w:sz="0" w:space="0" w:color="auto"/>
            <w:left w:val="none" w:sz="0" w:space="0" w:color="auto"/>
            <w:bottom w:val="none" w:sz="0" w:space="0" w:color="auto"/>
            <w:right w:val="none" w:sz="0" w:space="0" w:color="auto"/>
          </w:divBdr>
          <w:divsChild>
            <w:div w:id="700858760">
              <w:marLeft w:val="0"/>
              <w:marRight w:val="0"/>
              <w:marTop w:val="0"/>
              <w:marBottom w:val="0"/>
              <w:divBdr>
                <w:top w:val="none" w:sz="0" w:space="0" w:color="auto"/>
                <w:left w:val="none" w:sz="0" w:space="0" w:color="auto"/>
                <w:bottom w:val="none" w:sz="0" w:space="0" w:color="auto"/>
                <w:right w:val="none" w:sz="0" w:space="0" w:color="auto"/>
              </w:divBdr>
            </w:div>
            <w:div w:id="2641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5689">
      <w:bodyDiv w:val="1"/>
      <w:marLeft w:val="0"/>
      <w:marRight w:val="0"/>
      <w:marTop w:val="0"/>
      <w:marBottom w:val="0"/>
      <w:divBdr>
        <w:top w:val="none" w:sz="0" w:space="0" w:color="auto"/>
        <w:left w:val="none" w:sz="0" w:space="0" w:color="auto"/>
        <w:bottom w:val="none" w:sz="0" w:space="0" w:color="auto"/>
        <w:right w:val="none" w:sz="0" w:space="0" w:color="auto"/>
      </w:divBdr>
    </w:div>
    <w:div w:id="717978264">
      <w:bodyDiv w:val="1"/>
      <w:marLeft w:val="0"/>
      <w:marRight w:val="0"/>
      <w:marTop w:val="0"/>
      <w:marBottom w:val="0"/>
      <w:divBdr>
        <w:top w:val="none" w:sz="0" w:space="0" w:color="auto"/>
        <w:left w:val="none" w:sz="0" w:space="0" w:color="auto"/>
        <w:bottom w:val="none" w:sz="0" w:space="0" w:color="auto"/>
        <w:right w:val="none" w:sz="0" w:space="0" w:color="auto"/>
      </w:divBdr>
      <w:divsChild>
        <w:div w:id="1461680308">
          <w:marLeft w:val="0"/>
          <w:marRight w:val="0"/>
          <w:marTop w:val="0"/>
          <w:marBottom w:val="0"/>
          <w:divBdr>
            <w:top w:val="none" w:sz="0" w:space="0" w:color="auto"/>
            <w:left w:val="none" w:sz="0" w:space="0" w:color="auto"/>
            <w:bottom w:val="none" w:sz="0" w:space="0" w:color="auto"/>
            <w:right w:val="none" w:sz="0" w:space="0" w:color="auto"/>
          </w:divBdr>
          <w:divsChild>
            <w:div w:id="200754675">
              <w:marLeft w:val="0"/>
              <w:marRight w:val="0"/>
              <w:marTop w:val="0"/>
              <w:marBottom w:val="0"/>
              <w:divBdr>
                <w:top w:val="none" w:sz="0" w:space="0" w:color="auto"/>
                <w:left w:val="none" w:sz="0" w:space="0" w:color="auto"/>
                <w:bottom w:val="none" w:sz="0" w:space="0" w:color="auto"/>
                <w:right w:val="none" w:sz="0" w:space="0" w:color="auto"/>
              </w:divBdr>
            </w:div>
            <w:div w:id="5933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1379">
      <w:bodyDiv w:val="1"/>
      <w:marLeft w:val="0"/>
      <w:marRight w:val="0"/>
      <w:marTop w:val="0"/>
      <w:marBottom w:val="0"/>
      <w:divBdr>
        <w:top w:val="none" w:sz="0" w:space="0" w:color="auto"/>
        <w:left w:val="none" w:sz="0" w:space="0" w:color="auto"/>
        <w:bottom w:val="none" w:sz="0" w:space="0" w:color="auto"/>
        <w:right w:val="none" w:sz="0" w:space="0" w:color="auto"/>
      </w:divBdr>
      <w:divsChild>
        <w:div w:id="749080622">
          <w:marLeft w:val="0"/>
          <w:marRight w:val="0"/>
          <w:marTop w:val="0"/>
          <w:marBottom w:val="0"/>
          <w:divBdr>
            <w:top w:val="none" w:sz="0" w:space="0" w:color="auto"/>
            <w:left w:val="none" w:sz="0" w:space="0" w:color="auto"/>
            <w:bottom w:val="none" w:sz="0" w:space="0" w:color="auto"/>
            <w:right w:val="none" w:sz="0" w:space="0" w:color="auto"/>
          </w:divBdr>
          <w:divsChild>
            <w:div w:id="334382372">
              <w:marLeft w:val="0"/>
              <w:marRight w:val="0"/>
              <w:marTop w:val="0"/>
              <w:marBottom w:val="0"/>
              <w:divBdr>
                <w:top w:val="none" w:sz="0" w:space="0" w:color="auto"/>
                <w:left w:val="none" w:sz="0" w:space="0" w:color="auto"/>
                <w:bottom w:val="none" w:sz="0" w:space="0" w:color="auto"/>
                <w:right w:val="none" w:sz="0" w:space="0" w:color="auto"/>
              </w:divBdr>
            </w:div>
            <w:div w:id="5579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4735">
      <w:bodyDiv w:val="1"/>
      <w:marLeft w:val="0"/>
      <w:marRight w:val="0"/>
      <w:marTop w:val="0"/>
      <w:marBottom w:val="0"/>
      <w:divBdr>
        <w:top w:val="none" w:sz="0" w:space="0" w:color="auto"/>
        <w:left w:val="none" w:sz="0" w:space="0" w:color="auto"/>
        <w:bottom w:val="none" w:sz="0" w:space="0" w:color="auto"/>
        <w:right w:val="none" w:sz="0" w:space="0" w:color="auto"/>
      </w:divBdr>
    </w:div>
    <w:div w:id="1482582418">
      <w:bodyDiv w:val="1"/>
      <w:marLeft w:val="0"/>
      <w:marRight w:val="0"/>
      <w:marTop w:val="0"/>
      <w:marBottom w:val="0"/>
      <w:divBdr>
        <w:top w:val="none" w:sz="0" w:space="0" w:color="auto"/>
        <w:left w:val="none" w:sz="0" w:space="0" w:color="auto"/>
        <w:bottom w:val="none" w:sz="0" w:space="0" w:color="auto"/>
        <w:right w:val="none" w:sz="0" w:space="0" w:color="auto"/>
      </w:divBdr>
    </w:div>
    <w:div w:id="1646660843">
      <w:bodyDiv w:val="1"/>
      <w:marLeft w:val="0"/>
      <w:marRight w:val="0"/>
      <w:marTop w:val="0"/>
      <w:marBottom w:val="0"/>
      <w:divBdr>
        <w:top w:val="none" w:sz="0" w:space="0" w:color="auto"/>
        <w:left w:val="none" w:sz="0" w:space="0" w:color="auto"/>
        <w:bottom w:val="none" w:sz="0" w:space="0" w:color="auto"/>
        <w:right w:val="none" w:sz="0" w:space="0" w:color="auto"/>
      </w:divBdr>
    </w:div>
    <w:div w:id="1737312401">
      <w:bodyDiv w:val="1"/>
      <w:marLeft w:val="0"/>
      <w:marRight w:val="0"/>
      <w:marTop w:val="0"/>
      <w:marBottom w:val="0"/>
      <w:divBdr>
        <w:top w:val="none" w:sz="0" w:space="0" w:color="auto"/>
        <w:left w:val="none" w:sz="0" w:space="0" w:color="auto"/>
        <w:bottom w:val="none" w:sz="0" w:space="0" w:color="auto"/>
        <w:right w:val="none" w:sz="0" w:space="0" w:color="auto"/>
      </w:divBdr>
    </w:div>
    <w:div w:id="1819149294">
      <w:bodyDiv w:val="1"/>
      <w:marLeft w:val="0"/>
      <w:marRight w:val="0"/>
      <w:marTop w:val="0"/>
      <w:marBottom w:val="0"/>
      <w:divBdr>
        <w:top w:val="none" w:sz="0" w:space="0" w:color="auto"/>
        <w:left w:val="none" w:sz="0" w:space="0" w:color="auto"/>
        <w:bottom w:val="none" w:sz="0" w:space="0" w:color="auto"/>
        <w:right w:val="none" w:sz="0" w:space="0" w:color="auto"/>
      </w:divBdr>
      <w:divsChild>
        <w:div w:id="962267413">
          <w:marLeft w:val="0"/>
          <w:marRight w:val="0"/>
          <w:marTop w:val="0"/>
          <w:marBottom w:val="0"/>
          <w:divBdr>
            <w:top w:val="none" w:sz="0" w:space="0" w:color="auto"/>
            <w:left w:val="none" w:sz="0" w:space="0" w:color="auto"/>
            <w:bottom w:val="none" w:sz="0" w:space="0" w:color="auto"/>
            <w:right w:val="none" w:sz="0" w:space="0" w:color="auto"/>
          </w:divBdr>
          <w:divsChild>
            <w:div w:id="1543054176">
              <w:marLeft w:val="0"/>
              <w:marRight w:val="0"/>
              <w:marTop w:val="0"/>
              <w:marBottom w:val="0"/>
              <w:divBdr>
                <w:top w:val="none" w:sz="0" w:space="0" w:color="auto"/>
                <w:left w:val="none" w:sz="0" w:space="0" w:color="auto"/>
                <w:bottom w:val="none" w:sz="0" w:space="0" w:color="auto"/>
                <w:right w:val="none" w:sz="0" w:space="0" w:color="auto"/>
              </w:divBdr>
            </w:div>
            <w:div w:id="8765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7037">
      <w:bodyDiv w:val="1"/>
      <w:marLeft w:val="0"/>
      <w:marRight w:val="0"/>
      <w:marTop w:val="0"/>
      <w:marBottom w:val="0"/>
      <w:divBdr>
        <w:top w:val="none" w:sz="0" w:space="0" w:color="auto"/>
        <w:left w:val="none" w:sz="0" w:space="0" w:color="auto"/>
        <w:bottom w:val="none" w:sz="0" w:space="0" w:color="auto"/>
        <w:right w:val="none" w:sz="0" w:space="0" w:color="auto"/>
      </w:divBdr>
    </w:div>
    <w:div w:id="1911960123">
      <w:bodyDiv w:val="1"/>
      <w:marLeft w:val="0"/>
      <w:marRight w:val="0"/>
      <w:marTop w:val="0"/>
      <w:marBottom w:val="0"/>
      <w:divBdr>
        <w:top w:val="none" w:sz="0" w:space="0" w:color="auto"/>
        <w:left w:val="none" w:sz="0" w:space="0" w:color="auto"/>
        <w:bottom w:val="none" w:sz="0" w:space="0" w:color="auto"/>
        <w:right w:val="none" w:sz="0" w:space="0" w:color="auto"/>
      </w:divBdr>
    </w:div>
    <w:div w:id="2111583957">
      <w:bodyDiv w:val="1"/>
      <w:marLeft w:val="0"/>
      <w:marRight w:val="0"/>
      <w:marTop w:val="0"/>
      <w:marBottom w:val="0"/>
      <w:divBdr>
        <w:top w:val="none" w:sz="0" w:space="0" w:color="auto"/>
        <w:left w:val="none" w:sz="0" w:space="0" w:color="auto"/>
        <w:bottom w:val="none" w:sz="0" w:space="0" w:color="auto"/>
        <w:right w:val="none" w:sz="0" w:space="0" w:color="auto"/>
      </w:divBdr>
      <w:divsChild>
        <w:div w:id="255021495">
          <w:marLeft w:val="0"/>
          <w:marRight w:val="0"/>
          <w:marTop w:val="0"/>
          <w:marBottom w:val="0"/>
          <w:divBdr>
            <w:top w:val="none" w:sz="0" w:space="0" w:color="auto"/>
            <w:left w:val="none" w:sz="0" w:space="0" w:color="auto"/>
            <w:bottom w:val="none" w:sz="0" w:space="0" w:color="auto"/>
            <w:right w:val="none" w:sz="0" w:space="0" w:color="auto"/>
          </w:divBdr>
          <w:divsChild>
            <w:div w:id="91516679">
              <w:marLeft w:val="0"/>
              <w:marRight w:val="0"/>
              <w:marTop w:val="0"/>
              <w:marBottom w:val="0"/>
              <w:divBdr>
                <w:top w:val="none" w:sz="0" w:space="0" w:color="auto"/>
                <w:left w:val="none" w:sz="0" w:space="0" w:color="auto"/>
                <w:bottom w:val="none" w:sz="0" w:space="0" w:color="auto"/>
                <w:right w:val="none" w:sz="0" w:space="0" w:color="auto"/>
              </w:divBdr>
            </w:div>
            <w:div w:id="2400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3389/fcvm.2025.146586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erplexity.ai/"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doi.org/10.1016/j.jacadv.2025.10197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89/fphar.2022.1008031" TargetMode="External"/><Relationship Id="rId5" Type="http://schemas.openxmlformats.org/officeDocument/2006/relationships/image" Target="media/image1.jpeg"/><Relationship Id="rId15" Type="http://schemas.openxmlformats.org/officeDocument/2006/relationships/hyperlink" Target="https://clinicaltrials.gov/study/NCT04284839" TargetMode="External"/><Relationship Id="rId10" Type="http://schemas.openxmlformats.org/officeDocument/2006/relationships/hyperlink" Target="https://doi.org/10.1016/j.amjcard.2024.09.00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cc.org/latest-in-cardiology/ten-points-to-remember/2022/09/23/13/56/management-of-patients-at-ri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9</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FOWLER, PARKER T</dc:creator>
  <cp:keywords/>
  <dc:description/>
  <cp:lastModifiedBy>FOWLER, PARKER T</cp:lastModifiedBy>
  <cp:revision>5</cp:revision>
  <dcterms:created xsi:type="dcterms:W3CDTF">2025-08-10T02:43:00Z</dcterms:created>
  <dcterms:modified xsi:type="dcterms:W3CDTF">2025-08-11T04:26:00Z</dcterms:modified>
</cp:coreProperties>
</file>