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15A49" w14:textId="39877A50" w:rsidR="401E5E05" w:rsidRDefault="401E5E05" w:rsidP="3589A5F9">
      <w:pPr>
        <w:jc w:val="center"/>
        <w:rPr>
          <w:b/>
          <w:bCs/>
          <w:color w:val="212121"/>
          <w:highlight w:val="white"/>
        </w:rPr>
      </w:pPr>
      <w:bookmarkStart w:id="0" w:name="_Int_TyUZlT9t"/>
      <w:r w:rsidRPr="3589A5F9">
        <w:rPr>
          <w:b/>
          <w:bCs/>
          <w:color w:val="212121"/>
          <w:highlight w:val="white"/>
        </w:rPr>
        <w:t>Glucagon-like Peptide-1 Receptor Agonist (</w:t>
      </w:r>
      <w:r w:rsidR="07B1167A" w:rsidRPr="3589A5F9">
        <w:rPr>
          <w:b/>
          <w:bCs/>
          <w:color w:val="212121"/>
          <w:highlight w:val="white"/>
        </w:rPr>
        <w:t>GLP-1 RA</w:t>
      </w:r>
      <w:r w:rsidR="61C11296" w:rsidRPr="3589A5F9">
        <w:rPr>
          <w:b/>
          <w:bCs/>
          <w:color w:val="212121"/>
          <w:highlight w:val="white"/>
        </w:rPr>
        <w:t>)</w:t>
      </w:r>
      <w:r w:rsidR="07B1167A" w:rsidRPr="3589A5F9">
        <w:rPr>
          <w:b/>
          <w:bCs/>
          <w:color w:val="212121"/>
          <w:highlight w:val="white"/>
        </w:rPr>
        <w:t xml:space="preserve"> use in </w:t>
      </w:r>
      <w:r w:rsidR="00974FA5">
        <w:rPr>
          <w:b/>
          <w:bCs/>
          <w:color w:val="212121"/>
          <w:highlight w:val="white"/>
        </w:rPr>
        <w:t>D</w:t>
      </w:r>
      <w:r w:rsidR="07B1167A" w:rsidRPr="3589A5F9">
        <w:rPr>
          <w:b/>
          <w:bCs/>
          <w:color w:val="212121"/>
          <w:highlight w:val="white"/>
        </w:rPr>
        <w:t>ialysis</w:t>
      </w:r>
      <w:bookmarkEnd w:id="0"/>
    </w:p>
    <w:p w14:paraId="071A5882" w14:textId="47A6216A" w:rsidR="00360F1D" w:rsidRDefault="00360F1D" w:rsidP="3589A5F9">
      <w:pPr>
        <w:jc w:val="center"/>
        <w:rPr>
          <w:b/>
          <w:bCs/>
          <w:color w:val="212121"/>
          <w:highlight w:val="white"/>
        </w:rPr>
      </w:pPr>
      <w:r>
        <w:rPr>
          <w:b/>
          <w:bCs/>
          <w:color w:val="212121"/>
          <w:highlight w:val="white"/>
        </w:rPr>
        <w:t xml:space="preserve">Kyndal </w:t>
      </w:r>
      <w:proofErr w:type="spellStart"/>
      <w:r>
        <w:rPr>
          <w:b/>
          <w:bCs/>
          <w:color w:val="212121"/>
          <w:highlight w:val="white"/>
        </w:rPr>
        <w:t>Lemonds</w:t>
      </w:r>
      <w:proofErr w:type="spellEnd"/>
      <w:r>
        <w:rPr>
          <w:b/>
          <w:bCs/>
          <w:color w:val="212121"/>
          <w:highlight w:val="white"/>
        </w:rPr>
        <w:t>, PharmD</w:t>
      </w:r>
    </w:p>
    <w:p w14:paraId="3D84B0EC" w14:textId="27955A1E" w:rsidR="00360F1D" w:rsidRDefault="00360F1D" w:rsidP="3589A5F9">
      <w:pPr>
        <w:jc w:val="center"/>
        <w:rPr>
          <w:b/>
          <w:bCs/>
          <w:color w:val="212121"/>
          <w:highlight w:val="white"/>
        </w:rPr>
      </w:pPr>
      <w:r>
        <w:rPr>
          <w:b/>
          <w:bCs/>
          <w:color w:val="212121"/>
          <w:highlight w:val="white"/>
        </w:rPr>
        <w:t xml:space="preserve">Mercy </w:t>
      </w:r>
      <w:proofErr w:type="spellStart"/>
      <w:r>
        <w:rPr>
          <w:b/>
          <w:bCs/>
          <w:color w:val="212121"/>
          <w:highlight w:val="white"/>
        </w:rPr>
        <w:t>McArtan</w:t>
      </w:r>
      <w:proofErr w:type="spellEnd"/>
      <w:r>
        <w:rPr>
          <w:b/>
          <w:bCs/>
          <w:color w:val="212121"/>
          <w:highlight w:val="white"/>
        </w:rPr>
        <w:t>, Campbell PharmD Candidate</w:t>
      </w:r>
    </w:p>
    <w:p w14:paraId="00477154" w14:textId="5A3B3F2B" w:rsidR="00360F1D" w:rsidRDefault="00360F1D" w:rsidP="3589A5F9">
      <w:pPr>
        <w:jc w:val="center"/>
        <w:rPr>
          <w:b/>
          <w:bCs/>
          <w:color w:val="212121"/>
          <w:highlight w:val="white"/>
        </w:rPr>
      </w:pPr>
      <w:r>
        <w:rPr>
          <w:b/>
          <w:bCs/>
          <w:color w:val="212121"/>
          <w:highlight w:val="white"/>
        </w:rPr>
        <w:t xml:space="preserve">Sankalp </w:t>
      </w:r>
      <w:proofErr w:type="spellStart"/>
      <w:r>
        <w:rPr>
          <w:b/>
          <w:bCs/>
          <w:color w:val="212121"/>
          <w:highlight w:val="white"/>
        </w:rPr>
        <w:t>Vadlapudi</w:t>
      </w:r>
      <w:proofErr w:type="spellEnd"/>
      <w:r>
        <w:rPr>
          <w:b/>
          <w:bCs/>
          <w:color w:val="212121"/>
          <w:highlight w:val="white"/>
        </w:rPr>
        <w:t>, Campbell PharmD Candidate</w:t>
      </w:r>
      <w:r>
        <w:rPr>
          <w:b/>
          <w:bCs/>
          <w:color w:val="212121"/>
          <w:highlight w:val="white"/>
        </w:rPr>
        <w:br/>
        <w:t>Editor, Charles Herring, PharmD</w:t>
      </w:r>
    </w:p>
    <w:p w14:paraId="530AC013" w14:textId="10B9A2B7" w:rsidR="3589A5F9" w:rsidRDefault="3589A5F9" w:rsidP="3589A5F9">
      <w:pPr>
        <w:rPr>
          <w:color w:val="212121"/>
          <w:highlight w:val="white"/>
        </w:rPr>
      </w:pPr>
    </w:p>
    <w:p w14:paraId="21A7E45C" w14:textId="360796ED" w:rsidR="07B1167A" w:rsidRDefault="07B1167A" w:rsidP="3589A5F9">
      <w:pPr>
        <w:rPr>
          <w:b/>
          <w:bCs/>
          <w:i/>
          <w:iCs/>
          <w:color w:val="212121"/>
          <w:highlight w:val="white"/>
        </w:rPr>
      </w:pPr>
      <w:r w:rsidRPr="3589A5F9">
        <w:rPr>
          <w:b/>
          <w:bCs/>
          <w:i/>
          <w:iCs/>
          <w:color w:val="212121"/>
          <w:highlight w:val="white"/>
        </w:rPr>
        <w:t>Tertiary Resources</w:t>
      </w:r>
    </w:p>
    <w:p w14:paraId="335B96CC" w14:textId="418BC50D" w:rsidR="6EBAB1EF" w:rsidRDefault="6EBAB1EF" w:rsidP="3589A5F9">
      <w:pPr>
        <w:spacing w:before="240" w:after="240"/>
      </w:pPr>
      <w:r w:rsidRPr="3589A5F9">
        <w:rPr>
          <w:lang w:val="en-US"/>
        </w:rPr>
        <w:t xml:space="preserve">When it comes to the use of GLP-1 receptor agonists (GLP-1 RAs) in dialysis patients, both Lexicomp and Micromedex suggest that no dosage adjustments are necessary, even for those with end-stage renal disease (ESRD) or those on dialysis. </w:t>
      </w:r>
      <w:r w:rsidR="35FB7B36" w:rsidRPr="3589A5F9">
        <w:rPr>
          <w:lang w:val="en-US"/>
        </w:rPr>
        <w:t xml:space="preserve"> </w:t>
      </w:r>
      <w:r w:rsidRPr="3589A5F9">
        <w:rPr>
          <w:lang w:val="en-US"/>
        </w:rPr>
        <w:t xml:space="preserve">However, caution is recommended due to the limited clinical evidence available </w:t>
      </w:r>
      <w:r w:rsidR="00974FA5">
        <w:rPr>
          <w:lang w:val="en-US"/>
        </w:rPr>
        <w:t>regarding</w:t>
      </w:r>
      <w:r w:rsidRPr="3589A5F9">
        <w:rPr>
          <w:lang w:val="en-US"/>
        </w:rPr>
        <w:t xml:space="preserve"> the safety and efficacy of GLP-1 RAs in this population.</w:t>
      </w:r>
    </w:p>
    <w:p w14:paraId="4E02D7CF" w14:textId="64D3FEFC" w:rsidR="6EBAB1EF" w:rsidRDefault="6EBAB1EF" w:rsidP="3589A5F9">
      <w:pPr>
        <w:pStyle w:val="ListParagraph"/>
        <w:numPr>
          <w:ilvl w:val="0"/>
          <w:numId w:val="7"/>
        </w:numPr>
        <w:spacing w:before="240" w:after="240"/>
        <w:rPr>
          <w:color w:val="212121"/>
        </w:rPr>
      </w:pPr>
      <w:r w:rsidRPr="3589A5F9">
        <w:rPr>
          <w:b/>
          <w:bCs/>
          <w:color w:val="212121"/>
        </w:rPr>
        <w:t>Lexicomp</w:t>
      </w:r>
      <w:r w:rsidRPr="3589A5F9">
        <w:rPr>
          <w:color w:val="212121"/>
        </w:rPr>
        <w:t>:</w:t>
      </w:r>
    </w:p>
    <w:p w14:paraId="02B73589" w14:textId="2CAEC001" w:rsidR="6EBAB1EF" w:rsidRDefault="6EBAB1EF" w:rsidP="3589A5F9">
      <w:pPr>
        <w:pStyle w:val="ListParagraph"/>
        <w:numPr>
          <w:ilvl w:val="1"/>
          <w:numId w:val="7"/>
        </w:numPr>
        <w:rPr>
          <w:color w:val="212121"/>
        </w:rPr>
      </w:pPr>
      <w:r w:rsidRPr="3589A5F9">
        <w:rPr>
          <w:color w:val="212121"/>
        </w:rPr>
        <w:t>States that GLP-1 receptor agonists are unlikely to be dialyzable, meaning they are not significantly removed by the dialysis process.</w:t>
      </w:r>
    </w:p>
    <w:p w14:paraId="5FB3E94A" w14:textId="493D025A" w:rsidR="6EBAB1EF" w:rsidRDefault="6EBAB1EF" w:rsidP="3589A5F9">
      <w:pPr>
        <w:pStyle w:val="ListParagraph"/>
        <w:numPr>
          <w:ilvl w:val="1"/>
          <w:numId w:val="7"/>
        </w:numPr>
        <w:rPr>
          <w:color w:val="212121"/>
        </w:rPr>
      </w:pPr>
      <w:r w:rsidRPr="3589A5F9">
        <w:rPr>
          <w:color w:val="212121"/>
        </w:rPr>
        <w:t xml:space="preserve">It emphasizes that </w:t>
      </w:r>
      <w:r w:rsidRPr="3589A5F9">
        <w:rPr>
          <w:b/>
          <w:bCs/>
          <w:color w:val="212121"/>
        </w:rPr>
        <w:t>no supplemental dose or dosage adjustment is necessary</w:t>
      </w:r>
      <w:r w:rsidRPr="3589A5F9">
        <w:rPr>
          <w:color w:val="212121"/>
        </w:rPr>
        <w:t>.</w:t>
      </w:r>
    </w:p>
    <w:p w14:paraId="6D048F46" w14:textId="404DFB48" w:rsidR="6EBAB1EF" w:rsidRDefault="6EBAB1EF" w:rsidP="3589A5F9">
      <w:pPr>
        <w:pStyle w:val="ListParagraph"/>
        <w:numPr>
          <w:ilvl w:val="1"/>
          <w:numId w:val="7"/>
        </w:numPr>
        <w:rPr>
          <w:b/>
          <w:bCs/>
          <w:color w:val="212121"/>
          <w:lang w:val="en-US"/>
        </w:rPr>
      </w:pPr>
      <w:r w:rsidRPr="3589A5F9">
        <w:rPr>
          <w:color w:val="212121"/>
          <w:lang w:val="en-US"/>
        </w:rPr>
        <w:t xml:space="preserve">However, it does advise </w:t>
      </w:r>
      <w:r w:rsidRPr="3589A5F9">
        <w:rPr>
          <w:b/>
          <w:bCs/>
          <w:color w:val="212121"/>
          <w:lang w:val="en-US"/>
        </w:rPr>
        <w:t>use with caution</w:t>
      </w:r>
      <w:r w:rsidRPr="3589A5F9">
        <w:rPr>
          <w:color w:val="212121"/>
          <w:lang w:val="en-US"/>
        </w:rPr>
        <w:t xml:space="preserve"> due to </w:t>
      </w:r>
      <w:r w:rsidRPr="3589A5F9">
        <w:rPr>
          <w:b/>
          <w:bCs/>
          <w:color w:val="212121"/>
          <w:lang w:val="en-US"/>
        </w:rPr>
        <w:t>limited clinical evidence</w:t>
      </w:r>
      <w:r w:rsidR="2BBB5685" w:rsidRPr="3589A5F9">
        <w:rPr>
          <w:b/>
          <w:bCs/>
          <w:color w:val="212121"/>
          <w:lang w:val="en-US"/>
        </w:rPr>
        <w:t xml:space="preserve">. </w:t>
      </w:r>
    </w:p>
    <w:p w14:paraId="3E6CEFC8" w14:textId="120D171A" w:rsidR="6EBAB1EF" w:rsidRDefault="6EBAB1EF" w:rsidP="3589A5F9">
      <w:pPr>
        <w:pStyle w:val="ListParagraph"/>
        <w:numPr>
          <w:ilvl w:val="0"/>
          <w:numId w:val="7"/>
        </w:numPr>
        <w:spacing w:before="240" w:after="240"/>
        <w:rPr>
          <w:color w:val="212121"/>
        </w:rPr>
      </w:pPr>
      <w:r w:rsidRPr="3589A5F9">
        <w:rPr>
          <w:b/>
          <w:bCs/>
          <w:color w:val="212121"/>
        </w:rPr>
        <w:t>Micromedex</w:t>
      </w:r>
      <w:r w:rsidRPr="3589A5F9">
        <w:rPr>
          <w:color w:val="212121"/>
        </w:rPr>
        <w:t>:</w:t>
      </w:r>
    </w:p>
    <w:p w14:paraId="342A6E6D" w14:textId="56BEF410" w:rsidR="6EBAB1EF" w:rsidRDefault="6EBAB1EF" w:rsidP="3589A5F9">
      <w:pPr>
        <w:pStyle w:val="ListParagraph"/>
        <w:numPr>
          <w:ilvl w:val="1"/>
          <w:numId w:val="7"/>
        </w:numPr>
        <w:rPr>
          <w:color w:val="212121"/>
          <w:lang w:val="en-US"/>
        </w:rPr>
      </w:pPr>
      <w:proofErr w:type="gramStart"/>
      <w:r w:rsidRPr="3589A5F9">
        <w:rPr>
          <w:color w:val="212121"/>
          <w:lang w:val="en-US"/>
        </w:rPr>
        <w:t>Similar to</w:t>
      </w:r>
      <w:proofErr w:type="gramEnd"/>
      <w:r w:rsidRPr="3589A5F9">
        <w:rPr>
          <w:color w:val="212121"/>
          <w:lang w:val="en-US"/>
        </w:rPr>
        <w:t xml:space="preserve"> Lexicomp, Micromedex states that </w:t>
      </w:r>
      <w:r w:rsidRPr="3589A5F9">
        <w:rPr>
          <w:b/>
          <w:bCs/>
          <w:color w:val="212121"/>
          <w:lang w:val="en-US"/>
        </w:rPr>
        <w:t>no adjustment is required</w:t>
      </w:r>
      <w:r w:rsidRPr="3589A5F9">
        <w:rPr>
          <w:color w:val="212121"/>
          <w:lang w:val="en-US"/>
        </w:rPr>
        <w:t xml:space="preserve"> for patients with mild to severe renal impairment, including those on dialysis.</w:t>
      </w:r>
    </w:p>
    <w:p w14:paraId="3351A77D" w14:textId="7AB86552" w:rsidR="419B27B4" w:rsidRDefault="419B27B4" w:rsidP="3589A5F9">
      <w:pPr>
        <w:pStyle w:val="ListParagraph"/>
        <w:numPr>
          <w:ilvl w:val="1"/>
          <w:numId w:val="7"/>
        </w:numPr>
        <w:rPr>
          <w:color w:val="212121"/>
          <w:lang w:val="en-US"/>
        </w:rPr>
      </w:pPr>
      <w:r w:rsidRPr="3589A5F9">
        <w:rPr>
          <w:color w:val="212121"/>
          <w:lang w:val="en-US"/>
        </w:rPr>
        <w:t>No specific data from clinical trials in dialysis populations is provided</w:t>
      </w:r>
    </w:p>
    <w:p w14:paraId="23511C91" w14:textId="447FB000" w:rsidR="58D2B77A" w:rsidRDefault="58D2B77A" w:rsidP="3589A5F9">
      <w:pPr>
        <w:pStyle w:val="ListParagraph"/>
        <w:numPr>
          <w:ilvl w:val="0"/>
          <w:numId w:val="7"/>
        </w:numPr>
        <w:rPr>
          <w:b/>
          <w:bCs/>
          <w:color w:val="212121"/>
          <w:lang w:val="en-US"/>
        </w:rPr>
      </w:pPr>
      <w:r w:rsidRPr="3589A5F9">
        <w:rPr>
          <w:b/>
          <w:bCs/>
          <w:color w:val="212121"/>
          <w:lang w:val="en-US"/>
        </w:rPr>
        <w:t>Package inserts:</w:t>
      </w:r>
    </w:p>
    <w:p w14:paraId="57BA1D9C" w14:textId="2ABEA4CB" w:rsidR="58D2B77A" w:rsidRDefault="58D2B77A" w:rsidP="3589A5F9">
      <w:pPr>
        <w:pStyle w:val="ListParagraph"/>
        <w:numPr>
          <w:ilvl w:val="1"/>
          <w:numId w:val="7"/>
        </w:numPr>
        <w:rPr>
          <w:color w:val="212121"/>
          <w:lang w:val="en-US"/>
        </w:rPr>
      </w:pPr>
      <w:r w:rsidRPr="3589A5F9">
        <w:rPr>
          <w:color w:val="212121"/>
          <w:lang w:val="en-US"/>
        </w:rPr>
        <w:t xml:space="preserve">Do not </w:t>
      </w:r>
      <w:r w:rsidR="36BB54C0" w:rsidRPr="3589A5F9">
        <w:rPr>
          <w:color w:val="212121"/>
          <w:lang w:val="en-US"/>
        </w:rPr>
        <w:t>provid</w:t>
      </w:r>
      <w:r w:rsidRPr="3589A5F9">
        <w:rPr>
          <w:color w:val="212121"/>
          <w:lang w:val="en-US"/>
        </w:rPr>
        <w:t>e recommendations regarding dosing in patients on dialysis</w:t>
      </w:r>
      <w:r w:rsidR="71E73BE0" w:rsidRPr="3589A5F9">
        <w:rPr>
          <w:color w:val="212121"/>
          <w:lang w:val="en-US"/>
        </w:rPr>
        <w:t>.</w:t>
      </w:r>
      <w:r w:rsidRPr="3589A5F9">
        <w:rPr>
          <w:color w:val="212121"/>
          <w:lang w:val="en-US"/>
        </w:rPr>
        <w:t xml:space="preserve"> </w:t>
      </w:r>
    </w:p>
    <w:p w14:paraId="524384B0" w14:textId="54980E08" w:rsidR="253F8EDB" w:rsidRDefault="253F8EDB" w:rsidP="3589A5F9">
      <w:pPr>
        <w:pStyle w:val="ListParagraph"/>
        <w:numPr>
          <w:ilvl w:val="0"/>
          <w:numId w:val="7"/>
        </w:numPr>
        <w:rPr>
          <w:b/>
          <w:bCs/>
          <w:color w:val="212121"/>
          <w:lang w:val="en-US"/>
        </w:rPr>
      </w:pPr>
      <w:r w:rsidRPr="3589A5F9">
        <w:rPr>
          <w:b/>
          <w:bCs/>
          <w:color w:val="212121"/>
          <w:lang w:val="en-US"/>
        </w:rPr>
        <w:t xml:space="preserve">Helpline responses: </w:t>
      </w:r>
    </w:p>
    <w:p w14:paraId="25BFCC31" w14:textId="190E8B5B" w:rsidR="71A6802D" w:rsidRDefault="71A6802D" w:rsidP="3589A5F9">
      <w:pPr>
        <w:pStyle w:val="ListParagraph"/>
        <w:numPr>
          <w:ilvl w:val="1"/>
          <w:numId w:val="7"/>
        </w:numPr>
        <w:rPr>
          <w:lang w:val="en-US"/>
        </w:rPr>
      </w:pPr>
      <w:r w:rsidRPr="3589A5F9">
        <w:rPr>
          <w:lang w:val="en-US"/>
        </w:rPr>
        <w:t xml:space="preserve">When contacting the helplines for Trulicity and </w:t>
      </w:r>
      <w:proofErr w:type="spellStart"/>
      <w:r w:rsidRPr="3589A5F9">
        <w:rPr>
          <w:lang w:val="en-US"/>
        </w:rPr>
        <w:t>Mounjaro</w:t>
      </w:r>
      <w:proofErr w:type="spellEnd"/>
      <w:r w:rsidRPr="3589A5F9">
        <w:rPr>
          <w:lang w:val="en-US"/>
        </w:rPr>
        <w:t xml:space="preserve">, responses refer the caller back to the drug labels. </w:t>
      </w:r>
    </w:p>
    <w:p w14:paraId="6324A244" w14:textId="0293D09A" w:rsidR="6EBAB1EF" w:rsidRDefault="6EBAB1EF" w:rsidP="3589A5F9">
      <w:pPr>
        <w:pStyle w:val="Heading3"/>
        <w:spacing w:before="281" w:after="281"/>
        <w:rPr>
          <w:b/>
          <w:bCs/>
          <w:sz w:val="22"/>
          <w:szCs w:val="22"/>
        </w:rPr>
      </w:pPr>
      <w:r w:rsidRPr="3589A5F9">
        <w:rPr>
          <w:b/>
          <w:bCs/>
          <w:sz w:val="22"/>
          <w:szCs w:val="22"/>
        </w:rPr>
        <w:t>Important Considerations:</w:t>
      </w:r>
    </w:p>
    <w:p w14:paraId="116C0F12" w14:textId="44879B6B" w:rsidR="6EBAB1EF" w:rsidRDefault="6EBAB1EF" w:rsidP="3589A5F9">
      <w:pPr>
        <w:pStyle w:val="ListParagraph"/>
        <w:numPr>
          <w:ilvl w:val="0"/>
          <w:numId w:val="6"/>
        </w:numPr>
        <w:spacing w:before="240" w:after="240"/>
        <w:rPr>
          <w:lang w:val="en-US"/>
        </w:rPr>
      </w:pPr>
      <w:r w:rsidRPr="3589A5F9">
        <w:rPr>
          <w:b/>
          <w:bCs/>
          <w:lang w:val="en-US"/>
        </w:rPr>
        <w:t>Limited Clinical Data</w:t>
      </w:r>
      <w:r w:rsidRPr="3589A5F9">
        <w:rPr>
          <w:lang w:val="en-US"/>
        </w:rPr>
        <w:t xml:space="preserve">: While no dosage adjustment is recommended, it is important to note that there is a lack of robust clinical data specifically in the dialysis population. </w:t>
      </w:r>
      <w:r w:rsidR="4264AC38" w:rsidRPr="3589A5F9">
        <w:rPr>
          <w:lang w:val="en-US"/>
        </w:rPr>
        <w:t>The p</w:t>
      </w:r>
      <w:r w:rsidR="4264AC38" w:rsidRPr="3589A5F9">
        <w:rPr>
          <w:color w:val="212121"/>
          <w:lang w:val="en-US"/>
        </w:rPr>
        <w:t>harmacokinetics of GLP-1 RAs are unlikely to be substantially altered in dialysis patients, but</w:t>
      </w:r>
      <w:r w:rsidRPr="3589A5F9">
        <w:rPr>
          <w:lang w:val="en-US"/>
        </w:rPr>
        <w:t xml:space="preserve"> safety and long-term efficacy in patients undergoing dialysis remain uncertain</w:t>
      </w:r>
      <w:r w:rsidR="5786A2B7" w:rsidRPr="3589A5F9">
        <w:rPr>
          <w:lang w:val="en-US"/>
        </w:rPr>
        <w:t xml:space="preserve">. </w:t>
      </w:r>
    </w:p>
    <w:p w14:paraId="5A4A4F66" w14:textId="77929721" w:rsidR="6EBAB1EF" w:rsidRDefault="6EBAB1EF" w:rsidP="3589A5F9">
      <w:pPr>
        <w:pStyle w:val="ListParagraph"/>
        <w:numPr>
          <w:ilvl w:val="0"/>
          <w:numId w:val="6"/>
        </w:numPr>
        <w:spacing w:before="240" w:after="240"/>
        <w:rPr>
          <w:lang w:val="en-US"/>
        </w:rPr>
      </w:pPr>
      <w:r w:rsidRPr="3589A5F9">
        <w:rPr>
          <w:b/>
          <w:bCs/>
          <w:lang w:val="en-US"/>
        </w:rPr>
        <w:t>Caution</w:t>
      </w:r>
      <w:r w:rsidRPr="3589A5F9">
        <w:rPr>
          <w:lang w:val="en-US"/>
        </w:rPr>
        <w:t>: Given the limited evidence, healthcare providers should consider the overall clinical condition of dialysis patients before prescribing GLP-1 RAs.</w:t>
      </w:r>
    </w:p>
    <w:p w14:paraId="390C524E" w14:textId="61EC1B22" w:rsidR="6EBAB1EF" w:rsidRDefault="6EBAB1EF" w:rsidP="3589A5F9">
      <w:pPr>
        <w:pStyle w:val="ListParagraph"/>
        <w:numPr>
          <w:ilvl w:val="0"/>
          <w:numId w:val="6"/>
        </w:numPr>
        <w:spacing w:before="240" w:after="240"/>
      </w:pPr>
      <w:r w:rsidRPr="3589A5F9">
        <w:rPr>
          <w:b/>
          <w:bCs/>
        </w:rPr>
        <w:t>Monitoring</w:t>
      </w:r>
      <w:r w:rsidRPr="3589A5F9">
        <w:t>: Close monitoring of renal function and other relevant parameters (such as electrolyte levels and gastrointestinal tolerance) is advisable in dialysis patients taking GLP-1 RAs.</w:t>
      </w:r>
    </w:p>
    <w:p w14:paraId="005E2B42" w14:textId="1B2C76AC" w:rsidR="3589A5F9" w:rsidRDefault="3589A5F9" w:rsidP="3589A5F9">
      <w:pPr>
        <w:rPr>
          <w:b/>
          <w:bCs/>
          <w:i/>
          <w:iCs/>
          <w:color w:val="212121"/>
          <w:highlight w:val="white"/>
        </w:rPr>
      </w:pPr>
    </w:p>
    <w:p w14:paraId="417C9A10" w14:textId="3EFB26DA" w:rsidR="3589A5F9" w:rsidRDefault="3589A5F9" w:rsidP="3589A5F9">
      <w:pPr>
        <w:rPr>
          <w:b/>
          <w:bCs/>
          <w:i/>
          <w:iCs/>
          <w:color w:val="212121"/>
          <w:highlight w:val="white"/>
        </w:rPr>
      </w:pPr>
    </w:p>
    <w:p w14:paraId="4A20D1C6" w14:textId="4D1E94A9" w:rsidR="6F7188F8" w:rsidRDefault="6F7188F8" w:rsidP="3589A5F9">
      <w:pPr>
        <w:rPr>
          <w:b/>
          <w:bCs/>
          <w:i/>
          <w:iCs/>
          <w:color w:val="212121"/>
          <w:highlight w:val="white"/>
        </w:rPr>
      </w:pPr>
      <w:r w:rsidRPr="3589A5F9">
        <w:rPr>
          <w:b/>
          <w:bCs/>
          <w:i/>
          <w:iCs/>
          <w:color w:val="212121"/>
          <w:highlight w:val="white"/>
        </w:rPr>
        <w:lastRenderedPageBreak/>
        <w:t>Secondary Resources</w:t>
      </w:r>
    </w:p>
    <w:p w14:paraId="60DA3EDE" w14:textId="71719C70" w:rsidR="3589A5F9" w:rsidRDefault="3589A5F9" w:rsidP="3589A5F9">
      <w:pPr>
        <w:rPr>
          <w:b/>
          <w:bCs/>
          <w:i/>
          <w:iCs/>
          <w:color w:val="212121"/>
          <w:highlight w:val="white"/>
        </w:rPr>
      </w:pPr>
    </w:p>
    <w:p w14:paraId="30DE6B91" w14:textId="760BB8D1" w:rsidR="5D89E9DD" w:rsidRDefault="002F37FC" w:rsidP="3589A5F9">
      <w:pPr>
        <w:pStyle w:val="ListParagraph"/>
        <w:numPr>
          <w:ilvl w:val="0"/>
          <w:numId w:val="1"/>
        </w:numPr>
        <w:rPr>
          <w:color w:val="212121"/>
          <w:highlight w:val="white"/>
          <w:lang w:val="en-US"/>
        </w:rPr>
      </w:pPr>
      <w:r>
        <w:rPr>
          <w:color w:val="212121"/>
          <w:highlight w:val="white"/>
          <w:lang w:val="en-US"/>
        </w:rPr>
        <w:t>Kidney Disease: Improving Global Outcomes (</w:t>
      </w:r>
      <w:r w:rsidR="5D89E9DD" w:rsidRPr="3589A5F9">
        <w:rPr>
          <w:color w:val="212121"/>
          <w:highlight w:val="white"/>
          <w:lang w:val="en-US"/>
        </w:rPr>
        <w:t>KDIGO</w:t>
      </w:r>
      <w:r>
        <w:rPr>
          <w:color w:val="212121"/>
          <w:highlight w:val="white"/>
          <w:lang w:val="en-US"/>
        </w:rPr>
        <w:t>)</w:t>
      </w:r>
      <w:r w:rsidR="5D89E9DD" w:rsidRPr="3589A5F9">
        <w:rPr>
          <w:color w:val="212121"/>
          <w:highlight w:val="white"/>
          <w:lang w:val="en-US"/>
        </w:rPr>
        <w:t xml:space="preserve"> 2022 Clinical Practice Guideline for Diabetes Management in Chronic Kidney Disease</w:t>
      </w:r>
    </w:p>
    <w:p w14:paraId="76D3D8BC" w14:textId="03C30C5C" w:rsidR="5D89E9DD" w:rsidRDefault="5D89E9DD" w:rsidP="3589A5F9">
      <w:pPr>
        <w:pStyle w:val="ListParagraph"/>
        <w:numPr>
          <w:ilvl w:val="1"/>
          <w:numId w:val="1"/>
        </w:numPr>
        <w:rPr>
          <w:color w:val="212121"/>
          <w:highlight w:val="white"/>
          <w:lang w:val="en-US"/>
        </w:rPr>
      </w:pPr>
      <w:r w:rsidRPr="3589A5F9">
        <w:rPr>
          <w:color w:val="212121"/>
          <w:highlight w:val="white"/>
          <w:lang w:val="en-US"/>
        </w:rPr>
        <w:t>Recommendation for use of GLP-1 RAs in dialysis is unclear</w:t>
      </w:r>
    </w:p>
    <w:p w14:paraId="5CAE4E41" w14:textId="488537B9" w:rsidR="5D89E9DD" w:rsidRPr="00DD6C67" w:rsidRDefault="5D89E9DD" w:rsidP="3589A5F9">
      <w:pPr>
        <w:pStyle w:val="ListParagraph"/>
        <w:numPr>
          <w:ilvl w:val="2"/>
          <w:numId w:val="1"/>
        </w:numPr>
        <w:rPr>
          <w:color w:val="212121"/>
          <w:highlight w:val="white"/>
          <w:lang w:val="en-US"/>
        </w:rPr>
      </w:pPr>
      <w:r w:rsidRPr="3589A5F9">
        <w:rPr>
          <w:color w:val="212121"/>
          <w:highlight w:val="white"/>
          <w:lang w:val="en-US"/>
        </w:rPr>
        <w:t xml:space="preserve">Lists </w:t>
      </w:r>
      <w:r w:rsidR="37D1E83D" w:rsidRPr="3589A5F9">
        <w:rPr>
          <w:color w:val="212121"/>
          <w:highlight w:val="white"/>
          <w:lang w:val="en-US"/>
        </w:rPr>
        <w:t>dipeptidyl peptidase-4 inhibitors (</w:t>
      </w:r>
      <w:r w:rsidRPr="3589A5F9">
        <w:rPr>
          <w:color w:val="212121"/>
          <w:highlight w:val="white"/>
          <w:lang w:val="en-US"/>
        </w:rPr>
        <w:t>DPP4i</w:t>
      </w:r>
      <w:r w:rsidR="657D4058" w:rsidRPr="3589A5F9">
        <w:rPr>
          <w:color w:val="212121"/>
          <w:highlight w:val="white"/>
          <w:lang w:val="en-US"/>
        </w:rPr>
        <w:t>)</w:t>
      </w:r>
      <w:r w:rsidRPr="3589A5F9">
        <w:rPr>
          <w:color w:val="212121"/>
          <w:highlight w:val="white"/>
          <w:lang w:val="en-US"/>
        </w:rPr>
        <w:t xml:space="preserve">, insulin, and </w:t>
      </w:r>
      <w:r w:rsidR="40E0F249" w:rsidRPr="3589A5F9">
        <w:rPr>
          <w:color w:val="212121"/>
          <w:highlight w:val="white"/>
          <w:lang w:val="en-US"/>
        </w:rPr>
        <w:t>thiazolidinediones (</w:t>
      </w:r>
      <w:r w:rsidRPr="3589A5F9">
        <w:rPr>
          <w:color w:val="212121"/>
          <w:highlight w:val="white"/>
          <w:lang w:val="en-US"/>
        </w:rPr>
        <w:t>TZD</w:t>
      </w:r>
      <w:r w:rsidR="097402A7" w:rsidRPr="3589A5F9">
        <w:rPr>
          <w:color w:val="212121"/>
          <w:highlight w:val="white"/>
          <w:lang w:val="en-US"/>
        </w:rPr>
        <w:t>)</w:t>
      </w:r>
      <w:r w:rsidRPr="3589A5F9">
        <w:rPr>
          <w:color w:val="212121"/>
          <w:highlight w:val="white"/>
          <w:lang w:val="en-US"/>
        </w:rPr>
        <w:t xml:space="preserve"> as </w:t>
      </w:r>
      <w:r w:rsidR="35EF3A4B" w:rsidRPr="3589A5F9">
        <w:rPr>
          <w:color w:val="212121"/>
          <w:highlight w:val="white"/>
          <w:lang w:val="en-US"/>
        </w:rPr>
        <w:t>“</w:t>
      </w:r>
      <w:r w:rsidRPr="3589A5F9">
        <w:rPr>
          <w:color w:val="212121"/>
          <w:highlight w:val="white"/>
          <w:lang w:val="en-US"/>
        </w:rPr>
        <w:t>more-suitable medications</w:t>
      </w:r>
      <w:r w:rsidR="59D879DB" w:rsidRPr="3589A5F9">
        <w:rPr>
          <w:color w:val="212121"/>
          <w:highlight w:val="white"/>
          <w:lang w:val="en-US"/>
        </w:rPr>
        <w:t>”</w:t>
      </w:r>
      <w:r w:rsidRPr="3589A5F9">
        <w:rPr>
          <w:color w:val="212121"/>
          <w:highlight w:val="white"/>
          <w:lang w:val="en-US"/>
        </w:rPr>
        <w:t xml:space="preserve"> and sulfonylureas </w:t>
      </w:r>
      <w:r w:rsidR="1E94E91B" w:rsidRPr="3589A5F9">
        <w:rPr>
          <w:color w:val="212121"/>
          <w:highlight w:val="white"/>
          <w:lang w:val="en-US"/>
        </w:rPr>
        <w:t>(SU)</w:t>
      </w:r>
      <w:r w:rsidRPr="3589A5F9">
        <w:rPr>
          <w:color w:val="212121"/>
          <w:highlight w:val="white"/>
          <w:lang w:val="en-US"/>
        </w:rPr>
        <w:t>and alpha-glucosidase inhibitors</w:t>
      </w:r>
      <w:r w:rsidR="14B9962C" w:rsidRPr="3589A5F9">
        <w:rPr>
          <w:color w:val="212121"/>
          <w:highlight w:val="white"/>
          <w:lang w:val="en-US"/>
        </w:rPr>
        <w:t xml:space="preserve"> </w:t>
      </w:r>
      <w:r w:rsidR="49D4E27D" w:rsidRPr="3589A5F9">
        <w:rPr>
          <w:color w:val="212121"/>
          <w:highlight w:val="white"/>
          <w:lang w:val="en-US"/>
        </w:rPr>
        <w:t xml:space="preserve">(AGI) </w:t>
      </w:r>
      <w:r w:rsidR="14B9962C" w:rsidRPr="3589A5F9">
        <w:rPr>
          <w:color w:val="212121"/>
          <w:highlight w:val="white"/>
          <w:lang w:val="en-US"/>
        </w:rPr>
        <w:t xml:space="preserve">as </w:t>
      </w:r>
      <w:r w:rsidR="077A4226" w:rsidRPr="3589A5F9">
        <w:rPr>
          <w:color w:val="212121"/>
          <w:highlight w:val="white"/>
          <w:lang w:val="en-US"/>
        </w:rPr>
        <w:t>“</w:t>
      </w:r>
      <w:r w:rsidR="14B9962C" w:rsidRPr="3589A5F9">
        <w:rPr>
          <w:color w:val="212121"/>
          <w:highlight w:val="white"/>
          <w:lang w:val="en-US"/>
        </w:rPr>
        <w:t>less-suitable medication</w:t>
      </w:r>
      <w:r w:rsidR="0238E972" w:rsidRPr="3589A5F9">
        <w:rPr>
          <w:color w:val="212121"/>
          <w:highlight w:val="white"/>
          <w:lang w:val="en-US"/>
        </w:rPr>
        <w:t>s</w:t>
      </w:r>
      <w:r w:rsidR="43DC92C2" w:rsidRPr="3589A5F9">
        <w:rPr>
          <w:color w:val="212121"/>
          <w:highlight w:val="white"/>
          <w:lang w:val="en-US"/>
        </w:rPr>
        <w:t>” for patients undergoing dialysis</w:t>
      </w:r>
      <w:r w:rsidR="1D3AC846" w:rsidRPr="3589A5F9">
        <w:rPr>
          <w:color w:val="212121"/>
          <w:highlight w:val="white"/>
          <w:lang w:val="en-US"/>
        </w:rPr>
        <w:t>.</w:t>
      </w:r>
      <w:r w:rsidR="73FFBFC1" w:rsidRPr="3589A5F9">
        <w:rPr>
          <w:color w:val="212121"/>
          <w:highlight w:val="white"/>
          <w:lang w:val="en-US"/>
        </w:rPr>
        <w:t xml:space="preserve"> GLP-1 RAs are not listed for patients on dialysis.</w:t>
      </w:r>
      <w:r w:rsidR="1D3AC846" w:rsidRPr="3589A5F9">
        <w:rPr>
          <w:color w:val="212121"/>
          <w:highlight w:val="white"/>
          <w:vertAlign w:val="superscript"/>
          <w:lang w:val="en-US"/>
        </w:rPr>
        <w:t>1</w:t>
      </w:r>
    </w:p>
    <w:p w14:paraId="11A5FF61" w14:textId="2D952299" w:rsidR="3589A5F9" w:rsidRDefault="3589A5F9" w:rsidP="3589A5F9"/>
    <w:p w14:paraId="096E7A82" w14:textId="64B6C204" w:rsidR="4C7C61A7" w:rsidRDefault="4C7C61A7" w:rsidP="3589A5F9">
      <w:pPr>
        <w:jc w:val="center"/>
      </w:pPr>
      <w:r>
        <w:rPr>
          <w:noProof/>
        </w:rPr>
        <w:drawing>
          <wp:inline distT="0" distB="0" distL="0" distR="0" wp14:anchorId="27BFC3AE" wp14:editId="138C2042">
            <wp:extent cx="3204956" cy="2835153"/>
            <wp:effectExtent l="0" t="0" r="0" b="0"/>
            <wp:docPr id="2146310376" name="Picture 2146310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56" cy="28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E654A" w14:textId="04CBE786" w:rsidR="3589A5F9" w:rsidRDefault="3589A5F9" w:rsidP="3589A5F9">
      <w:pPr>
        <w:jc w:val="center"/>
      </w:pPr>
    </w:p>
    <w:p w14:paraId="074A67E4" w14:textId="2C8CA8DB" w:rsidR="5B796BCA" w:rsidRPr="00DD6C67" w:rsidRDefault="5B796BCA" w:rsidP="3589A5F9">
      <w:pPr>
        <w:pStyle w:val="ListParagraph"/>
        <w:numPr>
          <w:ilvl w:val="2"/>
          <w:numId w:val="1"/>
        </w:numPr>
        <w:rPr>
          <w:lang w:val="en-US"/>
        </w:rPr>
      </w:pPr>
      <w:r w:rsidRPr="3589A5F9">
        <w:rPr>
          <w:lang w:val="en-US"/>
        </w:rPr>
        <w:t xml:space="preserve">Also lists GLP-1 RAs as preferred additional drug therapy </w:t>
      </w:r>
      <w:r w:rsidR="17265B8B" w:rsidRPr="3589A5F9">
        <w:rPr>
          <w:lang w:val="en-US"/>
        </w:rPr>
        <w:t>in patients who have not achieved individualized glycemic targets despite use of metformin and SGLT2i treatment, or in patients who are unable to use these mediations</w:t>
      </w:r>
      <w:r w:rsidR="67E6230E" w:rsidRPr="3589A5F9">
        <w:rPr>
          <w:lang w:val="en-US"/>
        </w:rPr>
        <w:t xml:space="preserve">, </w:t>
      </w:r>
      <w:r w:rsidR="67E6230E" w:rsidRPr="3589A5F9">
        <w:rPr>
          <w:b/>
          <w:bCs/>
          <w:lang w:val="en-US"/>
        </w:rPr>
        <w:t>including patients treated with dialysis</w:t>
      </w:r>
      <w:r w:rsidR="3B7446A9" w:rsidRPr="3589A5F9">
        <w:rPr>
          <w:lang w:val="en-US"/>
        </w:rPr>
        <w:t>.</w:t>
      </w:r>
      <w:r w:rsidR="3B7446A9" w:rsidRPr="3589A5F9">
        <w:rPr>
          <w:vertAlign w:val="superscript"/>
          <w:lang w:val="en-US"/>
        </w:rPr>
        <w:t>1</w:t>
      </w:r>
    </w:p>
    <w:p w14:paraId="5D4E4958" w14:textId="4627B117" w:rsidR="68002F85" w:rsidRDefault="68002F85" w:rsidP="3589A5F9">
      <w:pPr>
        <w:jc w:val="center"/>
      </w:pPr>
      <w:r>
        <w:rPr>
          <w:noProof/>
        </w:rPr>
        <w:drawing>
          <wp:inline distT="0" distB="0" distL="0" distR="0" wp14:anchorId="302F3567" wp14:editId="617D0094">
            <wp:extent cx="4471704" cy="2164190"/>
            <wp:effectExtent l="0" t="0" r="0" b="0"/>
            <wp:docPr id="619853535" name="Picture 619853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704" cy="216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0B14C" w14:textId="2D40C2D3" w:rsidR="3589A5F9" w:rsidRDefault="3589A5F9" w:rsidP="3589A5F9"/>
    <w:p w14:paraId="0F913C17" w14:textId="3248704E" w:rsidR="2C05B5C5" w:rsidRDefault="2C05B5C5" w:rsidP="3589A5F9">
      <w:pPr>
        <w:pStyle w:val="ListParagraph"/>
        <w:numPr>
          <w:ilvl w:val="2"/>
          <w:numId w:val="1"/>
        </w:numPr>
        <w:rPr>
          <w:color w:val="212121"/>
          <w:highlight w:val="white"/>
        </w:rPr>
      </w:pPr>
      <w:r>
        <w:lastRenderedPageBreak/>
        <w:t>“</w:t>
      </w:r>
      <w:r w:rsidR="210908AF">
        <w:t>Future studies should confirm the safety and clinical benefit of GLP-1 RA for patients with T2D with severe CKD, including those who are on dialysis, for whom there are limited data</w:t>
      </w:r>
      <w:r w:rsidR="3C709B1E">
        <w:t>.”</w:t>
      </w:r>
      <w:r w:rsidR="3C709B1E" w:rsidRPr="3589A5F9">
        <w:rPr>
          <w:vertAlign w:val="superscript"/>
        </w:rPr>
        <w:t>1</w:t>
      </w:r>
      <w:r>
        <w:tab/>
      </w:r>
    </w:p>
    <w:p w14:paraId="25FC7935" w14:textId="2C86D64F" w:rsidR="3589A5F9" w:rsidRDefault="3589A5F9" w:rsidP="3589A5F9">
      <w:pPr>
        <w:rPr>
          <w:b/>
          <w:bCs/>
          <w:i/>
          <w:iCs/>
          <w:color w:val="212121"/>
          <w:highlight w:val="white"/>
        </w:rPr>
      </w:pPr>
    </w:p>
    <w:p w14:paraId="65ACB0E4" w14:textId="3E848EA6" w:rsidR="00FC7458" w:rsidRDefault="565B0D21" w:rsidP="3589A5F9">
      <w:pPr>
        <w:rPr>
          <w:b/>
          <w:bCs/>
          <w:i/>
          <w:iCs/>
          <w:color w:val="212121"/>
          <w:highlight w:val="white"/>
        </w:rPr>
      </w:pPr>
      <w:r w:rsidRPr="3589A5F9">
        <w:rPr>
          <w:b/>
          <w:bCs/>
          <w:i/>
          <w:iCs/>
          <w:color w:val="212121"/>
          <w:highlight w:val="white"/>
        </w:rPr>
        <w:t>Primary Literature</w:t>
      </w:r>
    </w:p>
    <w:p w14:paraId="735DFE83" w14:textId="149BE77F" w:rsidR="3589A5F9" w:rsidRDefault="3589A5F9" w:rsidP="3589A5F9">
      <w:pPr>
        <w:rPr>
          <w:b/>
          <w:bCs/>
          <w:i/>
          <w:iCs/>
          <w:color w:val="212121"/>
          <w:highlight w:val="white"/>
        </w:rPr>
      </w:pPr>
    </w:p>
    <w:p w14:paraId="24D39177" w14:textId="4CC33B54" w:rsidR="3292C9F5" w:rsidRDefault="3292C9F5" w:rsidP="3589A5F9">
      <w:r w:rsidRPr="3589A5F9">
        <w:rPr>
          <w:lang w:val="en-US"/>
        </w:rPr>
        <w:t xml:space="preserve">Many oral antihyperglycemic medications are either contraindicated in end-stage renal disease (ESRD) or require dose adjustments, which can restrict their effectiveness or use. </w:t>
      </w:r>
      <w:r w:rsidR="4B11F901" w:rsidRPr="3589A5F9">
        <w:rPr>
          <w:lang w:val="en-US"/>
        </w:rPr>
        <w:t xml:space="preserve">Insulin has remained a cornerstone in the treatment of type 2 diabetes mellitus, although it carries an elevated risk of hypoglycemia in patients with end-stage renal disease. </w:t>
      </w:r>
      <w:r w:rsidR="6A030C0C" w:rsidRPr="3589A5F9">
        <w:rPr>
          <w:color w:val="212121"/>
          <w:highlight w:val="white"/>
        </w:rPr>
        <w:t xml:space="preserve">Some studies suggest that </w:t>
      </w:r>
      <w:r w:rsidR="6A030C0C" w:rsidRPr="3589A5F9">
        <w:t xml:space="preserve">GLP-1 RAs may offer several benefits for patients on dialysis, including </w:t>
      </w:r>
      <w:r w:rsidR="6A030C0C" w:rsidRPr="3589A5F9">
        <w:rPr>
          <w:b/>
          <w:bCs/>
        </w:rPr>
        <w:t>reduced A1c</w:t>
      </w:r>
      <w:r w:rsidR="6A030C0C" w:rsidRPr="3589A5F9">
        <w:t xml:space="preserve"> (glycemic control) and </w:t>
      </w:r>
      <w:r w:rsidR="6A030C0C" w:rsidRPr="3589A5F9">
        <w:rPr>
          <w:b/>
          <w:bCs/>
        </w:rPr>
        <w:t>weight loss</w:t>
      </w:r>
      <w:r w:rsidR="6A030C0C" w:rsidRPr="3589A5F9">
        <w:t>.</w:t>
      </w:r>
      <w:r w:rsidR="29E0A353" w:rsidRPr="3589A5F9">
        <w:t xml:space="preserve"> They may also provide an improved safety profile</w:t>
      </w:r>
      <w:r w:rsidR="7B9A8CE4" w:rsidRPr="3589A5F9">
        <w:t xml:space="preserve">, with </w:t>
      </w:r>
      <w:r w:rsidR="7B9A8CE4" w:rsidRPr="3589A5F9">
        <w:rPr>
          <w:b/>
          <w:bCs/>
        </w:rPr>
        <w:t xml:space="preserve">lower risk of hypoglycemia </w:t>
      </w:r>
      <w:r w:rsidR="10E4CCD6" w:rsidRPr="3589A5F9">
        <w:rPr>
          <w:b/>
          <w:bCs/>
        </w:rPr>
        <w:t>than insulin</w:t>
      </w:r>
      <w:r w:rsidR="10E4CCD6" w:rsidRPr="3589A5F9">
        <w:t xml:space="preserve">. </w:t>
      </w:r>
    </w:p>
    <w:p w14:paraId="252CCFA1" w14:textId="7CF61AA3" w:rsidR="3589A5F9" w:rsidRDefault="3589A5F9" w:rsidP="3589A5F9"/>
    <w:p w14:paraId="033D790C" w14:textId="4338CCAE" w:rsidR="436F28E3" w:rsidRPr="00DD6C67" w:rsidRDefault="436F28E3" w:rsidP="3589A5F9">
      <w:pPr>
        <w:pStyle w:val="ListParagraph"/>
        <w:numPr>
          <w:ilvl w:val="0"/>
          <w:numId w:val="3"/>
        </w:numPr>
        <w:rPr>
          <w:i/>
          <w:iCs/>
          <w:color w:val="333333"/>
          <w:highlight w:val="white"/>
        </w:rPr>
      </w:pPr>
      <w:r w:rsidRPr="3589A5F9">
        <w:rPr>
          <w:i/>
          <w:iCs/>
          <w:lang w:val="en-US"/>
        </w:rPr>
        <w:t xml:space="preserve">Association of Glucagon-Like Peptide-1 Receptor Agonist vs Dipeptidyl Peptidase-4 Inhibitor Use </w:t>
      </w:r>
      <w:proofErr w:type="gramStart"/>
      <w:r w:rsidRPr="3589A5F9">
        <w:rPr>
          <w:i/>
          <w:iCs/>
          <w:lang w:val="en-US"/>
        </w:rPr>
        <w:t>With</w:t>
      </w:r>
      <w:proofErr w:type="gramEnd"/>
      <w:r w:rsidRPr="3589A5F9">
        <w:rPr>
          <w:i/>
          <w:iCs/>
          <w:lang w:val="en-US"/>
        </w:rPr>
        <w:t xml:space="preserve"> Mortality Among Patients With Type 2 Diabetes and Advanced Chronic Kidney Disease</w:t>
      </w:r>
    </w:p>
    <w:p w14:paraId="618E7E2C" w14:textId="2BE22491" w:rsidR="56A444C6" w:rsidRPr="00DD6C67" w:rsidRDefault="56A444C6" w:rsidP="3589A5F9">
      <w:pPr>
        <w:pStyle w:val="ListParagraph"/>
        <w:numPr>
          <w:ilvl w:val="1"/>
          <w:numId w:val="3"/>
        </w:numPr>
        <w:rPr>
          <w:color w:val="333333"/>
          <w:highlight w:val="white"/>
        </w:rPr>
      </w:pPr>
      <w:r w:rsidRPr="3589A5F9">
        <w:rPr>
          <w:color w:val="333333"/>
          <w:highlight w:val="white"/>
        </w:rPr>
        <w:t>“In this cross-sectional study, in patients with type 2 diabetes and stage 5 CKD or ESKD (requiring dialysis), use of GLP-1 receptor agonists was associated with better outcomes, including all-cause mortality and sepsis- and infection-related mortality, compared with use of DPP-4 inhibitors.”</w:t>
      </w:r>
      <w:r w:rsidR="10BE833D" w:rsidRPr="3589A5F9">
        <w:rPr>
          <w:color w:val="333333"/>
          <w:highlight w:val="white"/>
          <w:vertAlign w:val="superscript"/>
        </w:rPr>
        <w:t>2</w:t>
      </w:r>
    </w:p>
    <w:p w14:paraId="6A7F3077" w14:textId="4CEA2A37" w:rsidR="3589A5F9" w:rsidRDefault="3589A5F9" w:rsidP="3589A5F9">
      <w:pPr>
        <w:pStyle w:val="ListParagraph"/>
        <w:ind w:left="1440"/>
        <w:rPr>
          <w:color w:val="212121"/>
          <w:highlight w:val="white"/>
        </w:rPr>
      </w:pPr>
    </w:p>
    <w:p w14:paraId="5C3930DB" w14:textId="33775C40" w:rsidR="00FC7458" w:rsidRDefault="7DDD362B" w:rsidP="3E363617">
      <w:pPr>
        <w:jc w:val="center"/>
      </w:pPr>
      <w:r>
        <w:rPr>
          <w:noProof/>
        </w:rPr>
        <w:drawing>
          <wp:inline distT="0" distB="0" distL="0" distR="0" wp14:anchorId="32E33E5C" wp14:editId="051AD3BA">
            <wp:extent cx="5943600" cy="2343150"/>
            <wp:effectExtent l="0" t="0" r="0" b="0"/>
            <wp:docPr id="596633961" name="Picture 596633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42D4F" w14:textId="77777777" w:rsidR="00FC7458" w:rsidRDefault="00FC7458">
      <w:pPr>
        <w:ind w:left="2160"/>
        <w:rPr>
          <w:color w:val="1F1F1F"/>
          <w:highlight w:val="white"/>
        </w:rPr>
      </w:pPr>
    </w:p>
    <w:p w14:paraId="58F5B110" w14:textId="23CAA5F7" w:rsidR="7BC674D4" w:rsidRDefault="7BC674D4" w:rsidP="3589A5F9">
      <w:pPr>
        <w:pStyle w:val="ListParagraph"/>
        <w:numPr>
          <w:ilvl w:val="0"/>
          <w:numId w:val="3"/>
        </w:numPr>
        <w:rPr>
          <w:i/>
          <w:iCs/>
          <w:color w:val="1F1F1F"/>
          <w:highlight w:val="white"/>
        </w:rPr>
      </w:pPr>
      <w:r w:rsidRPr="3589A5F9">
        <w:rPr>
          <w:i/>
          <w:iCs/>
          <w:color w:val="1F1F1F"/>
          <w:highlight w:val="white"/>
        </w:rPr>
        <w:t>Glucagon-like peptide-1 receptor agonists use for type 2 diabetes mellitus in end-stage renal disease</w:t>
      </w:r>
    </w:p>
    <w:p w14:paraId="4A47F2E7" w14:textId="1AC3A4C9" w:rsidR="62A255FF" w:rsidRDefault="62A255FF" w:rsidP="3589A5F9">
      <w:pPr>
        <w:pStyle w:val="ListParagraph"/>
        <w:numPr>
          <w:ilvl w:val="1"/>
          <w:numId w:val="3"/>
        </w:numPr>
        <w:rPr>
          <w:color w:val="1F1F1F"/>
          <w:highlight w:val="white"/>
          <w:lang w:val="en-US"/>
        </w:rPr>
      </w:pPr>
      <w:r w:rsidRPr="3589A5F9">
        <w:rPr>
          <w:color w:val="1F1F1F"/>
          <w:highlight w:val="white"/>
          <w:lang w:val="en-US"/>
        </w:rPr>
        <w:t xml:space="preserve">“Our retrospective review suggests that treating patients with ESRD (eGFR &lt;15 mL/min/1.73 m </w:t>
      </w:r>
      <w:proofErr w:type="gramStart"/>
      <w:r w:rsidRPr="3589A5F9">
        <w:rPr>
          <w:color w:val="1F1F1F"/>
          <w:highlight w:val="white"/>
          <w:lang w:val="en-US"/>
        </w:rPr>
        <w:t>2 )</w:t>
      </w:r>
      <w:proofErr w:type="gramEnd"/>
      <w:r w:rsidRPr="3589A5F9">
        <w:rPr>
          <w:color w:val="1F1F1F"/>
          <w:highlight w:val="white"/>
          <w:lang w:val="en-US"/>
        </w:rPr>
        <w:t xml:space="preserve"> with a GLP-1 RA is likely safe and effective, consistent with the Kidney Disease Improving Global Outcomes Guideline on diabetes management in CKD.”</w:t>
      </w:r>
      <w:r w:rsidR="0994927E" w:rsidRPr="3589A5F9">
        <w:rPr>
          <w:color w:val="1F1F1F"/>
          <w:highlight w:val="white"/>
          <w:vertAlign w:val="superscript"/>
          <w:lang w:val="en-US"/>
        </w:rPr>
        <w:t>3</w:t>
      </w:r>
      <w:r w:rsidR="649C64CA" w:rsidRPr="3589A5F9">
        <w:rPr>
          <w:color w:val="1F1F1F"/>
          <w:highlight w:val="white"/>
          <w:vertAlign w:val="superscript"/>
          <w:lang w:val="en-US"/>
        </w:rPr>
        <w:t xml:space="preserve"> </w:t>
      </w:r>
    </w:p>
    <w:p w14:paraId="09DE0180" w14:textId="5B39D24D" w:rsidR="7821276E" w:rsidRPr="00DD6C67" w:rsidRDefault="7821276E" w:rsidP="3589A5F9">
      <w:pPr>
        <w:pStyle w:val="ListParagraph"/>
        <w:numPr>
          <w:ilvl w:val="1"/>
          <w:numId w:val="3"/>
        </w:numPr>
        <w:rPr>
          <w:color w:val="1F1F1F"/>
          <w:highlight w:val="white"/>
          <w:lang w:val="en-US"/>
        </w:rPr>
      </w:pPr>
      <w:r w:rsidRPr="3589A5F9">
        <w:rPr>
          <w:color w:val="1F1F1F"/>
          <w:highlight w:val="white"/>
          <w:lang w:val="en-US"/>
        </w:rPr>
        <w:t>The d</w:t>
      </w:r>
      <w:r w:rsidR="09E566C3" w:rsidRPr="3589A5F9">
        <w:rPr>
          <w:color w:val="1F1F1F"/>
          <w:highlight w:val="white"/>
          <w:lang w:val="en-US"/>
        </w:rPr>
        <w:t xml:space="preserve">ecline in renal function of sample </w:t>
      </w:r>
      <w:r w:rsidR="793E2286" w:rsidRPr="3589A5F9">
        <w:rPr>
          <w:color w:val="1F1F1F"/>
          <w:highlight w:val="white"/>
          <w:lang w:val="en-US"/>
        </w:rPr>
        <w:t xml:space="preserve">population </w:t>
      </w:r>
      <w:r w:rsidR="09E566C3" w:rsidRPr="3589A5F9">
        <w:rPr>
          <w:color w:val="1F1F1F"/>
          <w:highlight w:val="white"/>
          <w:lang w:val="en-US"/>
        </w:rPr>
        <w:t xml:space="preserve">was consistent with that of ESRD population </w:t>
      </w:r>
      <w:r w:rsidR="7248B2C2" w:rsidRPr="3589A5F9">
        <w:rPr>
          <w:color w:val="1F1F1F"/>
          <w:highlight w:val="white"/>
          <w:lang w:val="en-US"/>
        </w:rPr>
        <w:t>overall</w:t>
      </w:r>
      <w:r w:rsidR="51EF95E5" w:rsidRPr="3589A5F9">
        <w:rPr>
          <w:color w:val="1F1F1F"/>
          <w:highlight w:val="white"/>
          <w:lang w:val="en-US"/>
        </w:rPr>
        <w:t>.</w:t>
      </w:r>
      <w:r w:rsidR="4D5E094B" w:rsidRPr="3589A5F9">
        <w:rPr>
          <w:color w:val="1F1F1F"/>
          <w:highlight w:val="white"/>
          <w:vertAlign w:val="superscript"/>
          <w:lang w:val="en-US"/>
        </w:rPr>
        <w:t>3</w:t>
      </w:r>
      <w:r w:rsidR="51EF95E5" w:rsidRPr="00DD6C67">
        <w:rPr>
          <w:color w:val="1F1F1F"/>
          <w:highlight w:val="white"/>
          <w:lang w:val="en-US"/>
        </w:rPr>
        <w:t xml:space="preserve"> </w:t>
      </w:r>
    </w:p>
    <w:p w14:paraId="621F60A8" w14:textId="555364D8" w:rsidR="19993D11" w:rsidRPr="00DD6C67" w:rsidRDefault="19993D11" w:rsidP="00DD6C67">
      <w:pPr>
        <w:pStyle w:val="ListParagraph"/>
        <w:numPr>
          <w:ilvl w:val="1"/>
          <w:numId w:val="3"/>
        </w:numPr>
        <w:rPr>
          <w:color w:val="1F1F1F"/>
          <w:highlight w:val="white"/>
          <w:lang w:val="en-US"/>
        </w:rPr>
      </w:pPr>
      <w:r w:rsidRPr="3589A5F9">
        <w:rPr>
          <w:color w:val="1F1F1F"/>
          <w:highlight w:val="white"/>
          <w:lang w:val="en-US"/>
        </w:rPr>
        <w:lastRenderedPageBreak/>
        <w:t>The study showed a s</w:t>
      </w:r>
      <w:r w:rsidR="1E6B4EE6" w:rsidRPr="3589A5F9">
        <w:rPr>
          <w:color w:val="1F1F1F"/>
          <w:highlight w:val="white"/>
          <w:lang w:val="en-US"/>
        </w:rPr>
        <w:t>tatistically significant A1C reduction and a mean weight loss of 6 kg</w:t>
      </w:r>
      <w:r w:rsidR="61BC739E" w:rsidRPr="3589A5F9">
        <w:rPr>
          <w:color w:val="1F1F1F"/>
          <w:highlight w:val="white"/>
          <w:lang w:val="en-US"/>
        </w:rPr>
        <w:t>.</w:t>
      </w:r>
      <w:r w:rsidR="61BC739E" w:rsidRPr="3589A5F9">
        <w:rPr>
          <w:color w:val="1F1F1F"/>
          <w:highlight w:val="white"/>
          <w:vertAlign w:val="superscript"/>
          <w:lang w:val="en-US"/>
        </w:rPr>
        <w:t>3</w:t>
      </w:r>
    </w:p>
    <w:p w14:paraId="4C19312F" w14:textId="6A7C0F40" w:rsidR="4B76E623" w:rsidRDefault="4B76E623" w:rsidP="3589A5F9">
      <w:pPr>
        <w:pStyle w:val="ListParagraph"/>
        <w:numPr>
          <w:ilvl w:val="1"/>
          <w:numId w:val="3"/>
        </w:numPr>
        <w:rPr>
          <w:color w:val="1F1F1F"/>
          <w:highlight w:val="white"/>
          <w:lang w:val="en-US"/>
        </w:rPr>
      </w:pPr>
      <w:r w:rsidRPr="3589A5F9">
        <w:rPr>
          <w:color w:val="1F1F1F"/>
          <w:highlight w:val="white"/>
          <w:lang w:val="en-US"/>
        </w:rPr>
        <w:t xml:space="preserve">Acute kidney injury (AKI) is a key safety concern for the ESRD population, known to be at higher risk. In this study, </w:t>
      </w:r>
      <w:r w:rsidR="51604D9E" w:rsidRPr="3589A5F9">
        <w:rPr>
          <w:color w:val="1F1F1F"/>
          <w:highlight w:val="white"/>
          <w:lang w:val="en-US"/>
        </w:rPr>
        <w:t xml:space="preserve">no patients on </w:t>
      </w:r>
      <w:proofErr w:type="spellStart"/>
      <w:r w:rsidR="51604D9E" w:rsidRPr="3589A5F9">
        <w:rPr>
          <w:color w:val="1F1F1F"/>
          <w:highlight w:val="white"/>
          <w:lang w:val="en-US"/>
        </w:rPr>
        <w:t>semaglutide</w:t>
      </w:r>
      <w:proofErr w:type="spellEnd"/>
      <w:r w:rsidR="51604D9E" w:rsidRPr="3589A5F9">
        <w:rPr>
          <w:color w:val="1F1F1F"/>
          <w:highlight w:val="white"/>
          <w:lang w:val="en-US"/>
        </w:rPr>
        <w:t xml:space="preserve"> experienced an AKI</w:t>
      </w:r>
      <w:r w:rsidR="5E24EF7D" w:rsidRPr="3589A5F9">
        <w:rPr>
          <w:color w:val="1F1F1F"/>
          <w:highlight w:val="white"/>
          <w:lang w:val="en-US"/>
        </w:rPr>
        <w:t xml:space="preserve">. </w:t>
      </w:r>
      <w:r w:rsidR="51604D9E" w:rsidRPr="3589A5F9">
        <w:rPr>
          <w:color w:val="1F1F1F"/>
          <w:highlight w:val="white"/>
          <w:lang w:val="en-US"/>
        </w:rPr>
        <w:t>The highest inciden</w:t>
      </w:r>
      <w:r w:rsidR="41AEEDB6" w:rsidRPr="3589A5F9">
        <w:rPr>
          <w:color w:val="1F1F1F"/>
          <w:highlight w:val="white"/>
          <w:lang w:val="en-US"/>
        </w:rPr>
        <w:t>ce</w:t>
      </w:r>
      <w:r w:rsidR="51604D9E" w:rsidRPr="3589A5F9">
        <w:rPr>
          <w:color w:val="1F1F1F"/>
          <w:highlight w:val="white"/>
          <w:lang w:val="en-US"/>
        </w:rPr>
        <w:t xml:space="preserve"> of AKI was seen in the dulaglutide </w:t>
      </w:r>
      <w:r w:rsidR="7FE6EF6A" w:rsidRPr="3589A5F9">
        <w:rPr>
          <w:color w:val="1F1F1F"/>
          <w:highlight w:val="white"/>
          <w:lang w:val="en-US"/>
        </w:rPr>
        <w:t>group</w:t>
      </w:r>
      <w:r w:rsidR="37CFAD12" w:rsidRPr="3589A5F9">
        <w:rPr>
          <w:color w:val="1F1F1F"/>
          <w:highlight w:val="white"/>
          <w:lang w:val="en-US"/>
        </w:rPr>
        <w:t>.</w:t>
      </w:r>
      <w:r w:rsidR="0D5231FC" w:rsidRPr="3589A5F9">
        <w:rPr>
          <w:color w:val="1F1F1F"/>
          <w:highlight w:val="white"/>
          <w:lang w:val="en-US"/>
        </w:rPr>
        <w:t xml:space="preserve"> </w:t>
      </w:r>
      <w:r w:rsidR="0D5231FC" w:rsidRPr="3589A5F9">
        <w:rPr>
          <w:lang w:val="en-US"/>
        </w:rPr>
        <w:t xml:space="preserve">AKI trends in this cohort were </w:t>
      </w:r>
      <w:proofErr w:type="gramStart"/>
      <w:r w:rsidR="0D5231FC" w:rsidRPr="3589A5F9">
        <w:rPr>
          <w:lang w:val="en-US"/>
        </w:rPr>
        <w:t>similar to</w:t>
      </w:r>
      <w:proofErr w:type="gramEnd"/>
      <w:r w:rsidR="0D5231FC" w:rsidRPr="3589A5F9">
        <w:rPr>
          <w:lang w:val="en-US"/>
        </w:rPr>
        <w:t xml:space="preserve"> those seen in studies excluding ESRD patients, which is a promising indication of the safety of GLP-1 RAs in this high-risk population.</w:t>
      </w:r>
      <w:r w:rsidR="29053F46" w:rsidRPr="3589A5F9">
        <w:rPr>
          <w:vertAlign w:val="superscript"/>
          <w:lang w:val="en-US"/>
        </w:rPr>
        <w:t>3</w:t>
      </w:r>
      <w:r w:rsidR="37CFAD12" w:rsidRPr="3589A5F9">
        <w:rPr>
          <w:color w:val="1F1F1F"/>
          <w:highlight w:val="white"/>
          <w:lang w:val="en-US"/>
        </w:rPr>
        <w:t xml:space="preserve"> </w:t>
      </w:r>
    </w:p>
    <w:p w14:paraId="39BCFFFD" w14:textId="170E1F4E" w:rsidR="797333F3" w:rsidRPr="00DD6C67" w:rsidRDefault="797333F3" w:rsidP="3589A5F9">
      <w:pPr>
        <w:pStyle w:val="ListParagraph"/>
        <w:numPr>
          <w:ilvl w:val="2"/>
          <w:numId w:val="3"/>
        </w:numPr>
        <w:rPr>
          <w:color w:val="1F1F1F"/>
          <w:highlight w:val="white"/>
          <w:lang w:val="en-US"/>
        </w:rPr>
      </w:pPr>
      <w:r w:rsidRPr="3589A5F9">
        <w:rPr>
          <w:lang w:val="en-US"/>
        </w:rPr>
        <w:t xml:space="preserve">This result aligns with a post hoc analysis of the SUSTAIN 1-7 trials, which found no increased risk of kidney-related adverse events with </w:t>
      </w:r>
      <w:proofErr w:type="spellStart"/>
      <w:r w:rsidRPr="3589A5F9">
        <w:rPr>
          <w:lang w:val="en-US"/>
        </w:rPr>
        <w:t>semaglutide</w:t>
      </w:r>
      <w:proofErr w:type="spellEnd"/>
      <w:r w:rsidRPr="3589A5F9">
        <w:rPr>
          <w:lang w:val="en-US"/>
        </w:rPr>
        <w:t xml:space="preserve"> use.</w:t>
      </w:r>
      <w:r w:rsidRPr="3589A5F9">
        <w:rPr>
          <w:vertAlign w:val="superscript"/>
          <w:lang w:val="en-US"/>
        </w:rPr>
        <w:t>3</w:t>
      </w:r>
    </w:p>
    <w:p w14:paraId="35F92A4B" w14:textId="4BC3D36D" w:rsidR="6C41D48B" w:rsidRDefault="6C41D48B" w:rsidP="3589A5F9">
      <w:pPr>
        <w:pStyle w:val="ListParagraph"/>
        <w:numPr>
          <w:ilvl w:val="1"/>
          <w:numId w:val="3"/>
        </w:numPr>
        <w:rPr>
          <w:color w:val="1F1F1F"/>
          <w:highlight w:val="white"/>
          <w:lang w:val="en-US"/>
        </w:rPr>
      </w:pPr>
      <w:r w:rsidRPr="3589A5F9">
        <w:rPr>
          <w:color w:val="1F1F1F"/>
          <w:highlight w:val="white"/>
          <w:lang w:val="en-US"/>
        </w:rPr>
        <w:t xml:space="preserve">Study did not show </w:t>
      </w:r>
      <w:r w:rsidR="24C6AF46" w:rsidRPr="3589A5F9">
        <w:rPr>
          <w:color w:val="1F1F1F"/>
          <w:highlight w:val="white"/>
          <w:lang w:val="en-US"/>
        </w:rPr>
        <w:t>an increase in GI intolerance with reduced kidney function and GLP-1 RA use.</w:t>
      </w:r>
      <w:r w:rsidR="6C44C412" w:rsidRPr="3589A5F9">
        <w:rPr>
          <w:color w:val="1F1F1F"/>
          <w:highlight w:val="white"/>
          <w:vertAlign w:val="superscript"/>
          <w:lang w:val="en-US"/>
        </w:rPr>
        <w:t>3</w:t>
      </w:r>
      <w:r w:rsidR="24C6AF46" w:rsidRPr="3589A5F9">
        <w:rPr>
          <w:color w:val="1F1F1F"/>
          <w:highlight w:val="white"/>
          <w:lang w:val="en-US"/>
        </w:rPr>
        <w:t xml:space="preserve"> </w:t>
      </w:r>
    </w:p>
    <w:p w14:paraId="1FCE43DC" w14:textId="109431C4" w:rsidR="24C6AF46" w:rsidRDefault="24C6AF46" w:rsidP="3589A5F9">
      <w:pPr>
        <w:pStyle w:val="ListParagraph"/>
        <w:numPr>
          <w:ilvl w:val="1"/>
          <w:numId w:val="3"/>
        </w:numPr>
        <w:rPr>
          <w:color w:val="1F1F1F"/>
          <w:highlight w:val="white"/>
          <w:lang w:val="en-US"/>
        </w:rPr>
      </w:pPr>
      <w:r w:rsidRPr="3589A5F9">
        <w:rPr>
          <w:color w:val="1F1F1F"/>
          <w:highlight w:val="white"/>
          <w:lang w:val="en-US"/>
        </w:rPr>
        <w:t>The occurrence of hypoglycemia in GLP-1 RA use was low, as expected based on the mechanism of action.</w:t>
      </w:r>
      <w:r w:rsidR="5F25CEA7" w:rsidRPr="3589A5F9">
        <w:rPr>
          <w:color w:val="1F1F1F"/>
          <w:highlight w:val="white"/>
          <w:lang w:val="en-US"/>
        </w:rPr>
        <w:t xml:space="preserve"> </w:t>
      </w:r>
      <w:r w:rsidR="5F25CEA7" w:rsidRPr="3589A5F9">
        <w:rPr>
          <w:b/>
          <w:bCs/>
          <w:color w:val="1F1F1F"/>
          <w:highlight w:val="white"/>
          <w:lang w:val="en-US"/>
        </w:rPr>
        <w:t>All instances of hypoglycemia occurred in patients who were concomitantly on insulin therapy</w:t>
      </w:r>
      <w:r w:rsidR="5F25CEA7" w:rsidRPr="3589A5F9">
        <w:rPr>
          <w:color w:val="1F1F1F"/>
          <w:highlight w:val="white"/>
          <w:lang w:val="en-US"/>
        </w:rPr>
        <w:t>.</w:t>
      </w:r>
      <w:r w:rsidR="54AA99C2" w:rsidRPr="3589A5F9">
        <w:rPr>
          <w:color w:val="1F1F1F"/>
          <w:highlight w:val="white"/>
          <w:vertAlign w:val="superscript"/>
          <w:lang w:val="en-US"/>
        </w:rPr>
        <w:t>3</w:t>
      </w:r>
      <w:r w:rsidRPr="3589A5F9">
        <w:rPr>
          <w:color w:val="1F1F1F"/>
          <w:highlight w:val="white"/>
          <w:lang w:val="en-US"/>
        </w:rPr>
        <w:t xml:space="preserve"> </w:t>
      </w:r>
    </w:p>
    <w:p w14:paraId="56354C53" w14:textId="64767FA9" w:rsidR="3589A5F9" w:rsidRDefault="3589A5F9" w:rsidP="3589A5F9">
      <w:pPr>
        <w:pStyle w:val="ListParagraph"/>
        <w:ind w:left="1440"/>
        <w:rPr>
          <w:color w:val="1F1F1F"/>
          <w:highlight w:val="white"/>
          <w:lang w:val="en-US"/>
        </w:rPr>
      </w:pPr>
    </w:p>
    <w:p w14:paraId="41AF39D4" w14:textId="77777777" w:rsidR="00FC7458" w:rsidRDefault="006009D4" w:rsidP="00DD6C67">
      <w:pPr>
        <w:jc w:val="center"/>
        <w:rPr>
          <w:rFonts w:ascii="Cambria Math" w:eastAsia="Cambria Math" w:hAnsi="Cambria Math" w:cs="Cambria Math"/>
          <w:color w:val="1F1F1F"/>
          <w:highlight w:val="white"/>
        </w:rPr>
      </w:pPr>
      <w:r>
        <w:rPr>
          <w:rFonts w:ascii="Cambria Math" w:eastAsia="Cambria Math" w:hAnsi="Cambria Math" w:cs="Cambria Math"/>
          <w:noProof/>
          <w:color w:val="1F1F1F"/>
          <w:highlight w:val="white"/>
        </w:rPr>
        <w:drawing>
          <wp:inline distT="114300" distB="114300" distL="114300" distR="114300" wp14:anchorId="033D36B6" wp14:editId="5E6888E8">
            <wp:extent cx="5639320" cy="363378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9320" cy="3633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4A550D" w14:textId="77777777" w:rsidR="00FC7458" w:rsidRDefault="00FC7458">
      <w:pPr>
        <w:ind w:left="2160"/>
        <w:rPr>
          <w:color w:val="1F1F1F"/>
          <w:highlight w:val="white"/>
        </w:rPr>
      </w:pPr>
    </w:p>
    <w:p w14:paraId="616FB9DD" w14:textId="77777777" w:rsidR="00FC7458" w:rsidRDefault="00FC7458" w:rsidP="3589A5F9">
      <w:pPr>
        <w:ind w:left="1440"/>
        <w:rPr>
          <w:color w:val="212121"/>
          <w:highlight w:val="white"/>
          <w:vertAlign w:val="superscript"/>
        </w:rPr>
      </w:pPr>
    </w:p>
    <w:p w14:paraId="5BD72E23" w14:textId="1CE9447E" w:rsidR="6CEA5C74" w:rsidRDefault="6CEA5C74" w:rsidP="3589A5F9">
      <w:pPr>
        <w:pStyle w:val="ListParagraph"/>
        <w:numPr>
          <w:ilvl w:val="0"/>
          <w:numId w:val="3"/>
        </w:numPr>
        <w:rPr>
          <w:i/>
          <w:iCs/>
          <w:color w:val="212121"/>
          <w:highlight w:val="white"/>
        </w:rPr>
      </w:pPr>
      <w:r w:rsidRPr="3589A5F9">
        <w:rPr>
          <w:i/>
          <w:iCs/>
          <w:color w:val="212121"/>
          <w:highlight w:val="white"/>
        </w:rPr>
        <w:t>Glucagon-like peptide 1 receptor agonists in end-staged kidney disease and kidney transplantation: A narrative review</w:t>
      </w:r>
    </w:p>
    <w:p w14:paraId="73A53AD5" w14:textId="531C3FAD" w:rsidR="006009D4" w:rsidRPr="00DD6C67" w:rsidRDefault="006009D4" w:rsidP="3589A5F9">
      <w:pPr>
        <w:numPr>
          <w:ilvl w:val="1"/>
          <w:numId w:val="8"/>
        </w:numPr>
        <w:rPr>
          <w:color w:val="1F1F1F"/>
          <w:highlight w:val="white"/>
          <w:lang w:val="en-US"/>
        </w:rPr>
      </w:pPr>
      <w:r w:rsidRPr="3589A5F9">
        <w:rPr>
          <w:color w:val="1F1F1F"/>
          <w:highlight w:val="white"/>
          <w:lang w:val="en-US"/>
        </w:rPr>
        <w:t xml:space="preserve">“Hypoglycemia appears to be most common in those </w:t>
      </w:r>
      <w:r w:rsidRPr="3589A5F9">
        <w:rPr>
          <w:b/>
          <w:bCs/>
          <w:color w:val="1F1F1F"/>
          <w:highlight w:val="white"/>
          <w:lang w:val="en-US"/>
        </w:rPr>
        <w:t>using insulin</w:t>
      </w:r>
      <w:r w:rsidRPr="3589A5F9">
        <w:rPr>
          <w:color w:val="1F1F1F"/>
          <w:highlight w:val="white"/>
          <w:lang w:val="en-US"/>
        </w:rPr>
        <w:t xml:space="preserve"> at baseline, and in those with </w:t>
      </w:r>
      <w:r w:rsidRPr="3589A5F9">
        <w:rPr>
          <w:b/>
          <w:bCs/>
          <w:color w:val="1F1F1F"/>
          <w:highlight w:val="white"/>
          <w:lang w:val="en-US"/>
        </w:rPr>
        <w:t>very well controlled DM2</w:t>
      </w:r>
      <w:r w:rsidRPr="3589A5F9">
        <w:rPr>
          <w:color w:val="1F1F1F"/>
          <w:highlight w:val="white"/>
          <w:lang w:val="en-US"/>
        </w:rPr>
        <w:t xml:space="preserve"> prior to drug initiation.”</w:t>
      </w:r>
      <w:r w:rsidR="3521F232" w:rsidRPr="3589A5F9">
        <w:rPr>
          <w:color w:val="1F1F1F"/>
          <w:highlight w:val="white"/>
          <w:vertAlign w:val="superscript"/>
          <w:lang w:val="en-US"/>
        </w:rPr>
        <w:t>4</w:t>
      </w:r>
      <w:r w:rsidR="07CD18D1" w:rsidRPr="00DD6C67">
        <w:rPr>
          <w:color w:val="1F1F1F"/>
          <w:highlight w:val="white"/>
          <w:lang w:val="en-US"/>
        </w:rPr>
        <w:t xml:space="preserve"> </w:t>
      </w:r>
    </w:p>
    <w:p w14:paraId="43A8934D" w14:textId="76689AFD" w:rsidR="5C767101" w:rsidRPr="00DD6C67" w:rsidRDefault="5C767101" w:rsidP="3589A5F9">
      <w:pPr>
        <w:numPr>
          <w:ilvl w:val="1"/>
          <w:numId w:val="8"/>
        </w:numPr>
        <w:rPr>
          <w:color w:val="1F1F1F"/>
          <w:highlight w:val="white"/>
          <w:lang w:val="en-US"/>
        </w:rPr>
      </w:pPr>
      <w:r w:rsidRPr="3589A5F9">
        <w:rPr>
          <w:color w:val="1F1F1F"/>
          <w:highlight w:val="white"/>
          <w:lang w:val="en-US"/>
        </w:rPr>
        <w:t>In some retrospective cohort studies, up to 21% of those with ESKD stopped therapy due to gastrointestinal side effects.</w:t>
      </w:r>
      <w:r w:rsidRPr="3589A5F9">
        <w:rPr>
          <w:color w:val="1F1F1F"/>
          <w:highlight w:val="white"/>
          <w:vertAlign w:val="superscript"/>
          <w:lang w:val="en-US"/>
        </w:rPr>
        <w:t>4</w:t>
      </w:r>
    </w:p>
    <w:p w14:paraId="523AD2D9" w14:textId="59C94F4D" w:rsidR="1687735A" w:rsidRDefault="1687735A" w:rsidP="3589A5F9">
      <w:pPr>
        <w:numPr>
          <w:ilvl w:val="1"/>
          <w:numId w:val="8"/>
        </w:numPr>
        <w:rPr>
          <w:color w:val="1F1F1F"/>
          <w:highlight w:val="white"/>
        </w:rPr>
      </w:pPr>
      <w:r w:rsidRPr="3589A5F9">
        <w:rPr>
          <w:color w:val="1F1F1F"/>
          <w:highlight w:val="white"/>
        </w:rPr>
        <w:lastRenderedPageBreak/>
        <w:t>“The heightened risk of GI-related complications and hypoglycemia, particularly in those with ESKD with well-controlled DM2, require patient counseling and close medical follow up.”</w:t>
      </w:r>
      <w:r w:rsidRPr="3589A5F9">
        <w:rPr>
          <w:color w:val="1F1F1F"/>
          <w:highlight w:val="white"/>
          <w:vertAlign w:val="superscript"/>
        </w:rPr>
        <w:t>4</w:t>
      </w:r>
    </w:p>
    <w:p w14:paraId="4958E1B4" w14:textId="68683826" w:rsidR="3589A5F9" w:rsidRDefault="3589A5F9" w:rsidP="3589A5F9">
      <w:pPr>
        <w:ind w:left="2160" w:hanging="360"/>
        <w:rPr>
          <w:color w:val="1F1F1F"/>
          <w:highlight w:val="white"/>
          <w:lang w:val="en-US"/>
        </w:rPr>
      </w:pPr>
    </w:p>
    <w:p w14:paraId="2D02935B" w14:textId="779DB85D" w:rsidR="1B175953" w:rsidRDefault="1B175953" w:rsidP="3589A5F9">
      <w:pPr>
        <w:pStyle w:val="ListParagraph"/>
        <w:numPr>
          <w:ilvl w:val="0"/>
          <w:numId w:val="3"/>
        </w:numPr>
        <w:rPr>
          <w:i/>
          <w:iCs/>
          <w:color w:val="1F1F1F"/>
          <w:highlight w:val="white"/>
          <w:lang w:val="en-US"/>
        </w:rPr>
      </w:pPr>
      <w:r w:rsidRPr="3589A5F9">
        <w:rPr>
          <w:i/>
          <w:iCs/>
          <w:color w:val="1F1F1F"/>
          <w:highlight w:val="white"/>
          <w:lang w:val="en-US"/>
        </w:rPr>
        <w:t>Dulaglutide using once-2 weeks for dialysis type 2 diabetes patients in Japan</w:t>
      </w:r>
    </w:p>
    <w:p w14:paraId="1692EEB5" w14:textId="7B8A7597" w:rsidR="10A66E08" w:rsidRDefault="10A66E08" w:rsidP="3589A5F9">
      <w:pPr>
        <w:pStyle w:val="ListParagraph"/>
        <w:numPr>
          <w:ilvl w:val="1"/>
          <w:numId w:val="3"/>
        </w:numPr>
        <w:rPr>
          <w:color w:val="1F1F1F"/>
          <w:highlight w:val="white"/>
          <w:lang w:val="en-US"/>
        </w:rPr>
      </w:pPr>
      <w:r w:rsidRPr="3589A5F9">
        <w:rPr>
          <w:color w:val="1F1F1F"/>
          <w:highlight w:val="white"/>
          <w:lang w:val="en-US"/>
        </w:rPr>
        <w:t xml:space="preserve">Concluded that using dulaglutide once every 2 weeks is </w:t>
      </w:r>
      <w:r w:rsidR="1BA12E45" w:rsidRPr="3589A5F9">
        <w:rPr>
          <w:color w:val="1F1F1F"/>
          <w:highlight w:val="white"/>
          <w:lang w:val="en-US"/>
        </w:rPr>
        <w:t>effective for</w:t>
      </w:r>
      <w:r w:rsidRPr="3589A5F9">
        <w:rPr>
          <w:color w:val="1F1F1F"/>
          <w:highlight w:val="white"/>
          <w:lang w:val="en-US"/>
        </w:rPr>
        <w:t xml:space="preserve"> glycemic control of type 2 diabetes in patients undergoing dialysis.</w:t>
      </w:r>
      <w:r w:rsidR="6CD00AFD" w:rsidRPr="3589A5F9">
        <w:rPr>
          <w:color w:val="1F1F1F"/>
          <w:highlight w:val="white"/>
          <w:vertAlign w:val="superscript"/>
          <w:lang w:val="en-US"/>
        </w:rPr>
        <w:t>5</w:t>
      </w:r>
      <w:r w:rsidRPr="3589A5F9">
        <w:rPr>
          <w:color w:val="1F1F1F"/>
          <w:highlight w:val="white"/>
          <w:lang w:val="en-US"/>
        </w:rPr>
        <w:t xml:space="preserve"> </w:t>
      </w:r>
    </w:p>
    <w:p w14:paraId="77A63222" w14:textId="5F36B4E1" w:rsidR="38D4F7D1" w:rsidRDefault="38D4F7D1" w:rsidP="3589A5F9">
      <w:pPr>
        <w:pStyle w:val="ListParagraph"/>
        <w:numPr>
          <w:ilvl w:val="1"/>
          <w:numId w:val="3"/>
        </w:numPr>
        <w:rPr>
          <w:color w:val="1F1F1F"/>
          <w:highlight w:val="white"/>
          <w:lang w:val="en-US"/>
        </w:rPr>
      </w:pPr>
      <w:r w:rsidRPr="3589A5F9">
        <w:rPr>
          <w:color w:val="1F1F1F"/>
          <w:highlight w:val="white"/>
          <w:lang w:val="en-US"/>
        </w:rPr>
        <w:t xml:space="preserve">Extremely small sample, further research necessary. </w:t>
      </w:r>
    </w:p>
    <w:p w14:paraId="03D96CAB" w14:textId="77777777" w:rsidR="00FC7458" w:rsidRDefault="00FC7458">
      <w:pPr>
        <w:ind w:left="1440"/>
        <w:rPr>
          <w:color w:val="212121"/>
          <w:highlight w:val="white"/>
        </w:rPr>
      </w:pPr>
    </w:p>
    <w:p w14:paraId="54DBBCFE" w14:textId="2154DFC7" w:rsidR="00FC7458" w:rsidRDefault="00FC7458" w:rsidP="3589A5F9">
      <w:pPr>
        <w:rPr>
          <w:color w:val="1F1F1F"/>
          <w:highlight w:val="white"/>
        </w:rPr>
      </w:pPr>
    </w:p>
    <w:p w14:paraId="50F0A253" w14:textId="3805DD50" w:rsidR="00FC7458" w:rsidRPr="00DD6C67" w:rsidRDefault="3894F130" w:rsidP="3589A5F9">
      <w:pPr>
        <w:pStyle w:val="ListParagraph"/>
        <w:numPr>
          <w:ilvl w:val="0"/>
          <w:numId w:val="3"/>
        </w:numPr>
        <w:rPr>
          <w:i/>
          <w:iCs/>
          <w:color w:val="212121"/>
          <w:highlight w:val="white"/>
        </w:rPr>
      </w:pPr>
      <w:r w:rsidRPr="3589A5F9">
        <w:rPr>
          <w:i/>
          <w:iCs/>
          <w:color w:val="1F1F1F"/>
          <w:highlight w:val="white"/>
          <w:lang w:val="en-US"/>
        </w:rPr>
        <w:t xml:space="preserve">Improved glycemic control with </w:t>
      </w:r>
      <w:proofErr w:type="gramStart"/>
      <w:r w:rsidRPr="3589A5F9">
        <w:rPr>
          <w:i/>
          <w:iCs/>
          <w:color w:val="1F1F1F"/>
          <w:highlight w:val="white"/>
          <w:lang w:val="en-US"/>
        </w:rPr>
        <w:t>once-weekly</w:t>
      </w:r>
      <w:proofErr w:type="gramEnd"/>
      <w:r w:rsidRPr="3589A5F9">
        <w:rPr>
          <w:i/>
          <w:iCs/>
          <w:color w:val="1F1F1F"/>
          <w:highlight w:val="white"/>
          <w:lang w:val="en-US"/>
        </w:rPr>
        <w:t xml:space="preserve"> dulaglutide in addition to insulin therapy in type 2 diabetes mellitus patients on hemodialysis evaluated by continuous glucose monitoring</w:t>
      </w:r>
    </w:p>
    <w:p w14:paraId="0BDE402D" w14:textId="4F311776" w:rsidR="00FC7458" w:rsidRPr="00DD6C67" w:rsidRDefault="34020893" w:rsidP="3589A5F9">
      <w:pPr>
        <w:pStyle w:val="ListParagraph"/>
        <w:numPr>
          <w:ilvl w:val="1"/>
          <w:numId w:val="3"/>
        </w:numPr>
        <w:rPr>
          <w:color w:val="212121"/>
          <w:highlight w:val="white"/>
        </w:rPr>
      </w:pPr>
      <w:r w:rsidRPr="3589A5F9">
        <w:rPr>
          <w:color w:val="1F1F1F"/>
          <w:highlight w:val="white"/>
        </w:rPr>
        <w:t>“</w:t>
      </w:r>
      <w:r w:rsidRPr="3589A5F9">
        <w:rPr>
          <w:color w:val="212121"/>
          <w:highlight w:val="white"/>
        </w:rPr>
        <w:t xml:space="preserve">Dulaglutide may improve glycemic control and excursion and allow total daily insulin to be reduced </w:t>
      </w:r>
      <w:r w:rsidRPr="3589A5F9">
        <w:rPr>
          <w:b/>
          <w:bCs/>
          <w:color w:val="212121"/>
          <w:highlight w:val="white"/>
        </w:rPr>
        <w:t>without increasing the risk of hypoglycemia</w:t>
      </w:r>
      <w:r w:rsidRPr="3589A5F9">
        <w:rPr>
          <w:color w:val="212121"/>
          <w:highlight w:val="white"/>
        </w:rPr>
        <w:t xml:space="preserve"> in T2DM patients on hemodialysis.”</w:t>
      </w:r>
      <w:r w:rsidR="599BA269" w:rsidRPr="3589A5F9">
        <w:rPr>
          <w:color w:val="212121"/>
          <w:highlight w:val="white"/>
          <w:vertAlign w:val="superscript"/>
        </w:rPr>
        <w:t>6</w:t>
      </w:r>
    </w:p>
    <w:p w14:paraId="0272125C" w14:textId="7AACBD53" w:rsidR="00FC7458" w:rsidRDefault="431C8745" w:rsidP="3589A5F9">
      <w:pPr>
        <w:pStyle w:val="ListParagraph"/>
        <w:numPr>
          <w:ilvl w:val="2"/>
          <w:numId w:val="3"/>
        </w:numPr>
        <w:rPr>
          <w:color w:val="212121"/>
          <w:highlight w:val="white"/>
        </w:rPr>
      </w:pPr>
      <w:r w:rsidRPr="3589A5F9">
        <w:rPr>
          <w:color w:val="212121"/>
          <w:highlight w:val="white"/>
        </w:rPr>
        <w:t>Insulin dose must be appropriately reduced upon initiation</w:t>
      </w:r>
    </w:p>
    <w:p w14:paraId="4F5E65C0" w14:textId="51CC5F1C" w:rsidR="00FC7458" w:rsidRPr="00DD6C67" w:rsidRDefault="6987F31C" w:rsidP="3589A5F9">
      <w:pPr>
        <w:pStyle w:val="ListParagraph"/>
        <w:numPr>
          <w:ilvl w:val="1"/>
          <w:numId w:val="3"/>
        </w:numPr>
        <w:rPr>
          <w:color w:val="212121"/>
          <w:highlight w:val="white"/>
          <w:lang w:val="en-US"/>
        </w:rPr>
      </w:pPr>
      <w:r w:rsidRPr="3589A5F9">
        <w:rPr>
          <w:color w:val="212121"/>
          <w:highlight w:val="white"/>
          <w:lang w:val="en-US"/>
        </w:rPr>
        <w:t xml:space="preserve">No participants in the study withdrew due to side effects of dulaglutide: 1 patient experienced nausea/vomiting, 0 patients experienced </w:t>
      </w:r>
      <w:r w:rsidR="31717ECB" w:rsidRPr="3589A5F9">
        <w:rPr>
          <w:color w:val="212121"/>
          <w:highlight w:val="white"/>
          <w:lang w:val="en-US"/>
        </w:rPr>
        <w:t xml:space="preserve">symptomatic </w:t>
      </w:r>
      <w:r w:rsidRPr="3589A5F9">
        <w:rPr>
          <w:color w:val="212121"/>
          <w:highlight w:val="white"/>
          <w:lang w:val="en-US"/>
        </w:rPr>
        <w:t>hypoglycemia</w:t>
      </w:r>
      <w:r w:rsidR="3C572148" w:rsidRPr="3589A5F9">
        <w:rPr>
          <w:color w:val="212121"/>
          <w:highlight w:val="white"/>
          <w:lang w:val="en-US"/>
        </w:rPr>
        <w:t>.</w:t>
      </w:r>
    </w:p>
    <w:p w14:paraId="7FDA744E" w14:textId="286228F1" w:rsidR="3589A5F9" w:rsidRPr="00DD6C67" w:rsidRDefault="3589A5F9" w:rsidP="3589A5F9">
      <w:pPr>
        <w:pStyle w:val="ListParagraph"/>
        <w:ind w:left="1440"/>
        <w:rPr>
          <w:color w:val="212121"/>
          <w:highlight w:val="white"/>
          <w:lang w:val="en-US"/>
        </w:rPr>
      </w:pPr>
    </w:p>
    <w:p w14:paraId="461E9A67" w14:textId="77777777" w:rsidR="00FC7458" w:rsidRDefault="00FC7458">
      <w:pPr>
        <w:ind w:left="720"/>
        <w:rPr>
          <w:color w:val="212121"/>
          <w:highlight w:val="white"/>
        </w:rPr>
      </w:pPr>
    </w:p>
    <w:p w14:paraId="7DE73737" w14:textId="7ECBED6E" w:rsidR="00FC7458" w:rsidRDefault="006009D4" w:rsidP="3589A5F9">
      <w:pPr>
        <w:rPr>
          <w:b/>
          <w:bCs/>
          <w:i/>
          <w:iCs/>
          <w:color w:val="212121"/>
          <w:highlight w:val="white"/>
          <w:lang w:val="en-US"/>
        </w:rPr>
      </w:pPr>
      <w:r w:rsidRPr="3589A5F9">
        <w:rPr>
          <w:b/>
          <w:bCs/>
          <w:i/>
          <w:iCs/>
          <w:color w:val="212121"/>
          <w:highlight w:val="white"/>
        </w:rPr>
        <w:t>Recommendation</w:t>
      </w:r>
    </w:p>
    <w:p w14:paraId="36246773" w14:textId="3278F80C" w:rsidR="00FC7458" w:rsidRDefault="00FC7458" w:rsidP="3589A5F9">
      <w:pPr>
        <w:rPr>
          <w:b/>
          <w:bCs/>
          <w:i/>
          <w:iCs/>
          <w:color w:val="212121"/>
          <w:highlight w:val="white"/>
          <w:lang w:val="en-US"/>
        </w:rPr>
      </w:pPr>
    </w:p>
    <w:p w14:paraId="0920A60F" w14:textId="3DEBF1AC" w:rsidR="00FC7458" w:rsidRDefault="328ABBCF" w:rsidP="3589A5F9">
      <w:pPr>
        <w:pStyle w:val="ListParagraph"/>
        <w:numPr>
          <w:ilvl w:val="0"/>
          <w:numId w:val="4"/>
        </w:numPr>
        <w:rPr>
          <w:color w:val="212121"/>
          <w:highlight w:val="white"/>
          <w:lang w:val="en-US"/>
        </w:rPr>
      </w:pPr>
      <w:r w:rsidRPr="3589A5F9">
        <w:rPr>
          <w:b/>
          <w:bCs/>
          <w:color w:val="212121"/>
          <w:highlight w:val="white"/>
        </w:rPr>
        <w:t>Based on</w:t>
      </w:r>
      <w:r w:rsidR="006009D4" w:rsidRPr="3589A5F9">
        <w:rPr>
          <w:b/>
          <w:bCs/>
          <w:color w:val="212121"/>
          <w:highlight w:val="white"/>
        </w:rPr>
        <w:t xml:space="preserve"> limited data, </w:t>
      </w:r>
      <w:r w:rsidR="77B5F3D0" w:rsidRPr="3589A5F9">
        <w:rPr>
          <w:b/>
          <w:bCs/>
          <w:color w:val="212121"/>
          <w:highlight w:val="white"/>
        </w:rPr>
        <w:t>it appears that</w:t>
      </w:r>
      <w:r w:rsidR="006009D4" w:rsidRPr="3589A5F9">
        <w:rPr>
          <w:b/>
          <w:bCs/>
          <w:color w:val="212121"/>
          <w:highlight w:val="white"/>
        </w:rPr>
        <w:t xml:space="preserve"> initiating GLP-1 </w:t>
      </w:r>
      <w:r w:rsidR="12C80F4E" w:rsidRPr="3589A5F9">
        <w:rPr>
          <w:b/>
          <w:bCs/>
          <w:color w:val="212121"/>
          <w:highlight w:val="white"/>
        </w:rPr>
        <w:t xml:space="preserve">RA’s </w:t>
      </w:r>
      <w:r w:rsidR="006009D4" w:rsidRPr="3589A5F9">
        <w:rPr>
          <w:b/>
          <w:bCs/>
          <w:color w:val="212121"/>
          <w:highlight w:val="white"/>
        </w:rPr>
        <w:t>may be safe in dialysis patients</w:t>
      </w:r>
      <w:r w:rsidR="12CA941E" w:rsidRPr="3589A5F9">
        <w:rPr>
          <w:b/>
          <w:bCs/>
          <w:color w:val="212121"/>
          <w:highlight w:val="white"/>
        </w:rPr>
        <w:t xml:space="preserve">, </w:t>
      </w:r>
      <w:r w:rsidR="006009D4" w:rsidRPr="3589A5F9">
        <w:rPr>
          <w:color w:val="212121"/>
          <w:highlight w:val="white"/>
        </w:rPr>
        <w:t xml:space="preserve">although </w:t>
      </w:r>
      <w:r w:rsidR="1DAF7917" w:rsidRPr="3589A5F9">
        <w:rPr>
          <w:color w:val="212121"/>
          <w:highlight w:val="white"/>
        </w:rPr>
        <w:t xml:space="preserve">there are conflicting reports about whether these patients </w:t>
      </w:r>
      <w:r w:rsidR="006009D4" w:rsidRPr="3589A5F9">
        <w:rPr>
          <w:color w:val="212121"/>
          <w:highlight w:val="white"/>
        </w:rPr>
        <w:t xml:space="preserve">may be </w:t>
      </w:r>
      <w:r w:rsidR="006009D4" w:rsidRPr="3589A5F9">
        <w:rPr>
          <w:b/>
          <w:bCs/>
          <w:color w:val="212121"/>
          <w:highlight w:val="white"/>
        </w:rPr>
        <w:t xml:space="preserve">more prone to experiencing GI </w:t>
      </w:r>
      <w:r w:rsidR="1256D5B1" w:rsidRPr="3589A5F9">
        <w:rPr>
          <w:b/>
          <w:bCs/>
          <w:color w:val="212121"/>
          <w:highlight w:val="white"/>
        </w:rPr>
        <w:t xml:space="preserve">side </w:t>
      </w:r>
      <w:r w:rsidR="006009D4" w:rsidRPr="3589A5F9">
        <w:rPr>
          <w:b/>
          <w:bCs/>
          <w:color w:val="212121"/>
          <w:highlight w:val="white"/>
        </w:rPr>
        <w:t>effects and hypoglycemia</w:t>
      </w:r>
      <w:r w:rsidR="1C0EDDDD" w:rsidRPr="3589A5F9">
        <w:rPr>
          <w:b/>
          <w:bCs/>
          <w:color w:val="212121"/>
          <w:highlight w:val="white"/>
        </w:rPr>
        <w:t>, especially with concomitant insulin use</w:t>
      </w:r>
      <w:r w:rsidR="006009D4" w:rsidRPr="3589A5F9">
        <w:rPr>
          <w:color w:val="212121"/>
          <w:highlight w:val="white"/>
        </w:rPr>
        <w:t>.</w:t>
      </w:r>
    </w:p>
    <w:p w14:paraId="4FE5195C" w14:textId="61CC6214" w:rsidR="00FC7458" w:rsidRDefault="4B0D0566" w:rsidP="3589A5F9">
      <w:pPr>
        <w:pStyle w:val="ListParagraph"/>
        <w:numPr>
          <w:ilvl w:val="0"/>
          <w:numId w:val="4"/>
        </w:numPr>
        <w:rPr>
          <w:color w:val="212121"/>
          <w:highlight w:val="white"/>
          <w:lang w:val="en-US"/>
        </w:rPr>
      </w:pPr>
      <w:r w:rsidRPr="3589A5F9">
        <w:rPr>
          <w:color w:val="212121"/>
          <w:highlight w:val="white"/>
          <w:lang w:val="en-US"/>
        </w:rPr>
        <w:t xml:space="preserve">The patient </w:t>
      </w:r>
      <w:r w:rsidR="2FBC8504" w:rsidRPr="3589A5F9">
        <w:rPr>
          <w:color w:val="212121"/>
          <w:highlight w:val="white"/>
          <w:lang w:val="en-US"/>
        </w:rPr>
        <w:t>being considered for initiation of GLP-1 RA therapy</w:t>
      </w:r>
      <w:r w:rsidRPr="3589A5F9">
        <w:rPr>
          <w:color w:val="212121"/>
          <w:highlight w:val="white"/>
          <w:lang w:val="en-US"/>
        </w:rPr>
        <w:t xml:space="preserve"> is </w:t>
      </w:r>
      <w:r w:rsidR="74D46B2F" w:rsidRPr="3589A5F9">
        <w:rPr>
          <w:color w:val="212121"/>
          <w:highlight w:val="white"/>
          <w:lang w:val="en-US"/>
        </w:rPr>
        <w:t xml:space="preserve">currently </w:t>
      </w:r>
      <w:r w:rsidRPr="3589A5F9">
        <w:rPr>
          <w:color w:val="212121"/>
          <w:highlight w:val="white"/>
          <w:lang w:val="en-US"/>
        </w:rPr>
        <w:t xml:space="preserve">taking insulin glargine and insulin lispro. </w:t>
      </w:r>
      <w:r w:rsidR="006009D4" w:rsidRPr="3589A5F9">
        <w:rPr>
          <w:color w:val="212121"/>
          <w:highlight w:val="white"/>
          <w:lang w:val="en-US"/>
        </w:rPr>
        <w:t xml:space="preserve">Since this patient has a Dexcom G7, we can monitor </w:t>
      </w:r>
      <w:r w:rsidR="5D98D6FA" w:rsidRPr="3589A5F9">
        <w:rPr>
          <w:color w:val="212121"/>
          <w:highlight w:val="white"/>
          <w:lang w:val="en-US"/>
        </w:rPr>
        <w:t xml:space="preserve">blood </w:t>
      </w:r>
      <w:r w:rsidR="006009D4" w:rsidRPr="3589A5F9">
        <w:rPr>
          <w:color w:val="212121"/>
          <w:highlight w:val="white"/>
          <w:lang w:val="en-US"/>
        </w:rPr>
        <w:t>glucose closely to see if the patient needs</w:t>
      </w:r>
      <w:r w:rsidR="04867BF3" w:rsidRPr="3589A5F9">
        <w:rPr>
          <w:color w:val="212121"/>
          <w:highlight w:val="white"/>
          <w:lang w:val="en-US"/>
        </w:rPr>
        <w:t xml:space="preserve"> modifications to their medication regimen after initiating a GLP-1 RA (</w:t>
      </w:r>
      <w:r w:rsidR="6A3C9096" w:rsidRPr="3589A5F9">
        <w:rPr>
          <w:color w:val="212121"/>
          <w:highlight w:val="white"/>
          <w:lang w:val="en-US"/>
        </w:rPr>
        <w:t xml:space="preserve">GLP-1 RA </w:t>
      </w:r>
      <w:r w:rsidR="006009D4" w:rsidRPr="3589A5F9">
        <w:rPr>
          <w:color w:val="212121"/>
          <w:highlight w:val="white"/>
          <w:lang w:val="en-US"/>
        </w:rPr>
        <w:t>dosing interval longer than 1 week</w:t>
      </w:r>
      <w:r w:rsidR="556C41A0" w:rsidRPr="3589A5F9">
        <w:rPr>
          <w:color w:val="212121"/>
          <w:highlight w:val="white"/>
          <w:lang w:val="en-US"/>
        </w:rPr>
        <w:t xml:space="preserve">, </w:t>
      </w:r>
      <w:r w:rsidR="41FECE7B" w:rsidRPr="3589A5F9">
        <w:rPr>
          <w:color w:val="212121"/>
          <w:highlight w:val="white"/>
          <w:lang w:val="en-US"/>
        </w:rPr>
        <w:t>decrease in insulin dose, etc.)</w:t>
      </w:r>
      <w:r w:rsidR="715CA087" w:rsidRPr="3589A5F9">
        <w:rPr>
          <w:color w:val="212121"/>
          <w:highlight w:val="white"/>
          <w:lang w:val="en-US"/>
        </w:rPr>
        <w:t xml:space="preserve">. </w:t>
      </w:r>
    </w:p>
    <w:p w14:paraId="230ACA8C" w14:textId="77777777" w:rsidR="00FC7458" w:rsidRDefault="00FC7458">
      <w:pPr>
        <w:rPr>
          <w:color w:val="212121"/>
          <w:highlight w:val="white"/>
        </w:rPr>
      </w:pPr>
    </w:p>
    <w:p w14:paraId="70091474" w14:textId="77777777" w:rsidR="00FC7458" w:rsidRDefault="00FC7458">
      <w:pPr>
        <w:rPr>
          <w:color w:val="212121"/>
          <w:highlight w:val="white"/>
        </w:rPr>
      </w:pPr>
    </w:p>
    <w:p w14:paraId="27629DCE" w14:textId="77777777" w:rsidR="00FC7458" w:rsidRDefault="00FC7458" w:rsidP="3589A5F9">
      <w:pPr>
        <w:rPr>
          <w:color w:val="212121"/>
          <w:highlight w:val="white"/>
        </w:rPr>
      </w:pPr>
    </w:p>
    <w:p w14:paraId="61DF77A1" w14:textId="77777777" w:rsidR="0071323B" w:rsidRDefault="0071323B" w:rsidP="3589A5F9">
      <w:pPr>
        <w:rPr>
          <w:b/>
          <w:bCs/>
          <w:i/>
          <w:iCs/>
          <w:color w:val="212121"/>
          <w:highlight w:val="white"/>
        </w:rPr>
      </w:pPr>
    </w:p>
    <w:p w14:paraId="13664CFF" w14:textId="77777777" w:rsidR="0071323B" w:rsidRDefault="0071323B" w:rsidP="3589A5F9">
      <w:pPr>
        <w:rPr>
          <w:b/>
          <w:bCs/>
          <w:i/>
          <w:iCs/>
          <w:color w:val="212121"/>
          <w:highlight w:val="white"/>
        </w:rPr>
      </w:pPr>
    </w:p>
    <w:p w14:paraId="04013273" w14:textId="77777777" w:rsidR="0071323B" w:rsidRDefault="0071323B" w:rsidP="3589A5F9">
      <w:pPr>
        <w:rPr>
          <w:b/>
          <w:bCs/>
          <w:i/>
          <w:iCs/>
          <w:color w:val="212121"/>
          <w:highlight w:val="white"/>
        </w:rPr>
      </w:pPr>
    </w:p>
    <w:p w14:paraId="391CFD60" w14:textId="77777777" w:rsidR="0071323B" w:rsidRDefault="0071323B" w:rsidP="3589A5F9">
      <w:pPr>
        <w:rPr>
          <w:b/>
          <w:bCs/>
          <w:i/>
          <w:iCs/>
          <w:color w:val="212121"/>
          <w:highlight w:val="white"/>
        </w:rPr>
      </w:pPr>
    </w:p>
    <w:p w14:paraId="7F83BA88" w14:textId="77777777" w:rsidR="0071323B" w:rsidRDefault="0071323B" w:rsidP="3589A5F9">
      <w:pPr>
        <w:rPr>
          <w:b/>
          <w:bCs/>
          <w:i/>
          <w:iCs/>
          <w:color w:val="212121"/>
          <w:highlight w:val="white"/>
        </w:rPr>
      </w:pPr>
    </w:p>
    <w:p w14:paraId="0C335E69" w14:textId="77777777" w:rsidR="0071323B" w:rsidRDefault="0071323B" w:rsidP="3589A5F9">
      <w:pPr>
        <w:rPr>
          <w:b/>
          <w:bCs/>
          <w:i/>
          <w:iCs/>
          <w:color w:val="212121"/>
          <w:highlight w:val="white"/>
        </w:rPr>
      </w:pPr>
    </w:p>
    <w:p w14:paraId="4F128D6B" w14:textId="77777777" w:rsidR="0071323B" w:rsidRDefault="0071323B" w:rsidP="3589A5F9">
      <w:pPr>
        <w:rPr>
          <w:b/>
          <w:bCs/>
          <w:i/>
          <w:iCs/>
          <w:color w:val="212121"/>
          <w:highlight w:val="white"/>
        </w:rPr>
      </w:pPr>
    </w:p>
    <w:p w14:paraId="37A574C2" w14:textId="77777777" w:rsidR="0071323B" w:rsidRDefault="0071323B" w:rsidP="3589A5F9">
      <w:pPr>
        <w:rPr>
          <w:b/>
          <w:bCs/>
          <w:i/>
          <w:iCs/>
          <w:color w:val="212121"/>
          <w:highlight w:val="white"/>
        </w:rPr>
      </w:pPr>
    </w:p>
    <w:p w14:paraId="2BD5EC00" w14:textId="15C8139F" w:rsidR="6E203F90" w:rsidRDefault="6E203F90" w:rsidP="3589A5F9">
      <w:pPr>
        <w:rPr>
          <w:color w:val="212121"/>
          <w:highlight w:val="white"/>
        </w:rPr>
      </w:pPr>
      <w:r w:rsidRPr="3589A5F9">
        <w:rPr>
          <w:b/>
          <w:bCs/>
          <w:i/>
          <w:iCs/>
          <w:color w:val="212121"/>
          <w:highlight w:val="white"/>
        </w:rPr>
        <w:lastRenderedPageBreak/>
        <w:t>References</w:t>
      </w:r>
    </w:p>
    <w:p w14:paraId="7C1257CF" w14:textId="6F5AA427" w:rsidR="3589A5F9" w:rsidRDefault="3589A5F9" w:rsidP="3589A5F9">
      <w:pPr>
        <w:rPr>
          <w:color w:val="212121"/>
          <w:highlight w:val="white"/>
        </w:rPr>
      </w:pPr>
    </w:p>
    <w:p w14:paraId="55C9974D" w14:textId="61EE4BF0" w:rsidR="6A3CF8DF" w:rsidRDefault="6A3CF8DF" w:rsidP="3589A5F9">
      <w:pPr>
        <w:numPr>
          <w:ilvl w:val="0"/>
          <w:numId w:val="9"/>
        </w:numPr>
        <w:rPr>
          <w:lang w:val="en-US"/>
        </w:rPr>
      </w:pPr>
      <w:r w:rsidRPr="3589A5F9">
        <w:rPr>
          <w:color w:val="212121"/>
          <w:lang w:val="en-US"/>
        </w:rPr>
        <w:t xml:space="preserve">Kidney Disease: Improving Global Outcomes (KDIGO) Diabetes Work Group. KDIGO 2022 Clinical Practice Guideline for Diabetes Management in Chronic Kidney Disease. </w:t>
      </w:r>
      <w:r w:rsidRPr="3589A5F9">
        <w:rPr>
          <w:i/>
          <w:iCs/>
          <w:color w:val="212121"/>
          <w:lang w:val="en-US"/>
        </w:rPr>
        <w:t>Kidney Int</w:t>
      </w:r>
      <w:r w:rsidRPr="3589A5F9">
        <w:rPr>
          <w:color w:val="212121"/>
          <w:lang w:val="en-US"/>
        </w:rPr>
        <w:t>. 2022;102(5S</w:t>
      </w:r>
      <w:proofErr w:type="gramStart"/>
      <w:r w:rsidRPr="3589A5F9">
        <w:rPr>
          <w:color w:val="212121"/>
          <w:lang w:val="en-US"/>
        </w:rPr>
        <w:t>):S</w:t>
      </w:r>
      <w:proofErr w:type="gramEnd"/>
      <w:r w:rsidRPr="3589A5F9">
        <w:rPr>
          <w:color w:val="212121"/>
          <w:lang w:val="en-US"/>
        </w:rPr>
        <w:t xml:space="preserve">1-S127. </w:t>
      </w:r>
      <w:proofErr w:type="gramStart"/>
      <w:r w:rsidRPr="3589A5F9">
        <w:rPr>
          <w:color w:val="212121"/>
          <w:lang w:val="en-US"/>
        </w:rPr>
        <w:t>doi:10.1016/j.kint</w:t>
      </w:r>
      <w:proofErr w:type="gramEnd"/>
      <w:r w:rsidRPr="3589A5F9">
        <w:rPr>
          <w:color w:val="212121"/>
          <w:lang w:val="en-US"/>
        </w:rPr>
        <w:t>.2022.06.008</w:t>
      </w:r>
    </w:p>
    <w:p w14:paraId="0D4C9E76" w14:textId="77777777" w:rsidR="00FC7458" w:rsidRDefault="006009D4" w:rsidP="4F5192AF">
      <w:pPr>
        <w:numPr>
          <w:ilvl w:val="0"/>
          <w:numId w:val="9"/>
        </w:numPr>
        <w:rPr>
          <w:color w:val="212121"/>
          <w:highlight w:val="white"/>
          <w:lang w:val="en-US"/>
        </w:rPr>
      </w:pPr>
      <w:r w:rsidRPr="3589A5F9">
        <w:rPr>
          <w:color w:val="212121"/>
          <w:highlight w:val="white"/>
          <w:lang w:val="en-US"/>
        </w:rPr>
        <w:t xml:space="preserve">Chen JJ, Wu CY, </w:t>
      </w:r>
      <w:proofErr w:type="spellStart"/>
      <w:r w:rsidRPr="3589A5F9">
        <w:rPr>
          <w:color w:val="212121"/>
          <w:highlight w:val="white"/>
          <w:lang w:val="en-US"/>
        </w:rPr>
        <w:t>Jenq</w:t>
      </w:r>
      <w:proofErr w:type="spellEnd"/>
      <w:r w:rsidRPr="3589A5F9">
        <w:rPr>
          <w:color w:val="212121"/>
          <w:highlight w:val="white"/>
          <w:lang w:val="en-US"/>
        </w:rPr>
        <w:t xml:space="preserve"> CC, Lee TH, Tsai CY, Tu HT, Huang YT, Yen CL, Yen TH, Chen YC, Tian YC, Yang CW, Yang HY. Association of Glucagon-Like Peptide-1 Receptor Agonist vs Dipeptidyl Peptidase-4 Inhibitor Use </w:t>
      </w:r>
      <w:proofErr w:type="gramStart"/>
      <w:r w:rsidRPr="3589A5F9">
        <w:rPr>
          <w:color w:val="212121"/>
          <w:highlight w:val="white"/>
          <w:lang w:val="en-US"/>
        </w:rPr>
        <w:t>With</w:t>
      </w:r>
      <w:proofErr w:type="gramEnd"/>
      <w:r w:rsidRPr="3589A5F9">
        <w:rPr>
          <w:color w:val="212121"/>
          <w:highlight w:val="white"/>
          <w:lang w:val="en-US"/>
        </w:rPr>
        <w:t xml:space="preserve"> Mortality Among Patients With Type 2 Diabetes and Advanced Chronic Kidney Disease. JAMA </w:t>
      </w:r>
      <w:proofErr w:type="spellStart"/>
      <w:r w:rsidRPr="3589A5F9">
        <w:rPr>
          <w:color w:val="212121"/>
          <w:highlight w:val="white"/>
          <w:lang w:val="en-US"/>
        </w:rPr>
        <w:t>Netw</w:t>
      </w:r>
      <w:proofErr w:type="spellEnd"/>
      <w:r w:rsidRPr="3589A5F9">
        <w:rPr>
          <w:color w:val="212121"/>
          <w:highlight w:val="white"/>
          <w:lang w:val="en-US"/>
        </w:rPr>
        <w:t xml:space="preserve"> Open. 2022 Mar 1;5(3</w:t>
      </w:r>
      <w:proofErr w:type="gramStart"/>
      <w:r w:rsidRPr="3589A5F9">
        <w:rPr>
          <w:color w:val="212121"/>
          <w:highlight w:val="white"/>
          <w:lang w:val="en-US"/>
        </w:rPr>
        <w:t>):e</w:t>
      </w:r>
      <w:proofErr w:type="gramEnd"/>
      <w:r w:rsidRPr="3589A5F9">
        <w:rPr>
          <w:color w:val="212121"/>
          <w:highlight w:val="white"/>
          <w:lang w:val="en-US"/>
        </w:rPr>
        <w:t xml:space="preserve">221169. </w:t>
      </w:r>
      <w:proofErr w:type="spellStart"/>
      <w:r w:rsidRPr="3589A5F9">
        <w:rPr>
          <w:color w:val="212121"/>
          <w:highlight w:val="white"/>
          <w:lang w:val="en-US"/>
        </w:rPr>
        <w:t>doi</w:t>
      </w:r>
      <w:proofErr w:type="spellEnd"/>
      <w:r w:rsidRPr="3589A5F9">
        <w:rPr>
          <w:color w:val="212121"/>
          <w:highlight w:val="white"/>
          <w:lang w:val="en-US"/>
        </w:rPr>
        <w:t xml:space="preserve">: 10.1001/jamanetworkopen.2022.1169. PMID: 35254430; PMCID: PMC8902651. </w:t>
      </w:r>
      <w:r w:rsidRPr="3589A5F9">
        <w:rPr>
          <w:b/>
          <w:bCs/>
          <w:color w:val="212121"/>
          <w:highlight w:val="white"/>
          <w:lang w:val="en-US"/>
        </w:rPr>
        <w:t>(Retrospective cohort)</w:t>
      </w:r>
    </w:p>
    <w:p w14:paraId="363AF833" w14:textId="4061B641" w:rsidR="0EE51938" w:rsidRDefault="0EE51938" w:rsidP="3589A5F9">
      <w:pPr>
        <w:numPr>
          <w:ilvl w:val="0"/>
          <w:numId w:val="9"/>
        </w:numPr>
        <w:rPr>
          <w:color w:val="212121"/>
          <w:highlight w:val="white"/>
          <w:lang w:val="en-US"/>
        </w:rPr>
      </w:pPr>
      <w:r w:rsidRPr="3589A5F9">
        <w:rPr>
          <w:color w:val="212121"/>
          <w:highlight w:val="white"/>
          <w:lang w:val="en-US"/>
        </w:rPr>
        <w:t xml:space="preserve">Thomas AM, Lamb K, Howard O. Glucagon-like peptide-1 receptor agonists use for type 2 diabetes mellitus in end-stage renal disease. J Am Pharm Assoc (2003). 2023 Sep-Oct;63(5):1612-1616. </w:t>
      </w:r>
      <w:proofErr w:type="spellStart"/>
      <w:r w:rsidRPr="3589A5F9">
        <w:rPr>
          <w:color w:val="212121"/>
          <w:highlight w:val="white"/>
          <w:lang w:val="en-US"/>
        </w:rPr>
        <w:t>doi</w:t>
      </w:r>
      <w:proofErr w:type="spellEnd"/>
      <w:r w:rsidRPr="3589A5F9">
        <w:rPr>
          <w:color w:val="212121"/>
          <w:highlight w:val="white"/>
          <w:lang w:val="en-US"/>
        </w:rPr>
        <w:t xml:space="preserve">: 10.1016/j.japh.2023.06.003. </w:t>
      </w:r>
      <w:proofErr w:type="spellStart"/>
      <w:r w:rsidRPr="3589A5F9">
        <w:rPr>
          <w:color w:val="212121"/>
          <w:highlight w:val="white"/>
          <w:lang w:val="en-US"/>
        </w:rPr>
        <w:t>Epub</w:t>
      </w:r>
      <w:proofErr w:type="spellEnd"/>
      <w:r w:rsidRPr="3589A5F9">
        <w:rPr>
          <w:color w:val="212121"/>
          <w:highlight w:val="white"/>
          <w:lang w:val="en-US"/>
        </w:rPr>
        <w:t xml:space="preserve"> 2023 Jun 8. PMID: 37301509. </w:t>
      </w:r>
      <w:r w:rsidRPr="3589A5F9">
        <w:rPr>
          <w:b/>
          <w:bCs/>
          <w:color w:val="212121"/>
          <w:highlight w:val="white"/>
          <w:lang w:val="en-US"/>
        </w:rPr>
        <w:t>(Retrospective cohort, VA Medical Center, TN, 60% on HD)</w:t>
      </w:r>
    </w:p>
    <w:p w14:paraId="4F67D84D" w14:textId="77777777" w:rsidR="00FC7458" w:rsidRDefault="006009D4" w:rsidP="4F5192AF">
      <w:pPr>
        <w:numPr>
          <w:ilvl w:val="0"/>
          <w:numId w:val="9"/>
        </w:numPr>
        <w:rPr>
          <w:color w:val="212121"/>
          <w:highlight w:val="white"/>
          <w:lang w:val="en-US"/>
        </w:rPr>
      </w:pPr>
      <w:r w:rsidRPr="3589A5F9">
        <w:rPr>
          <w:color w:val="212121"/>
          <w:highlight w:val="white"/>
          <w:lang w:val="en-US"/>
        </w:rPr>
        <w:t xml:space="preserve">Clemens KK, Ernst J, Khan T, Reichert S, Khan Q, LaPier H, Chiu M, Stranges S, Sahi G, Castrillon-Ramirez F, Moist L; OK TRANSPLANT Investigators. Glucagon-like peptide 1 receptor agonists in end-staged kidney disease and kidney transplantation: A narrative review. </w:t>
      </w:r>
      <w:proofErr w:type="spellStart"/>
      <w:r w:rsidRPr="3589A5F9">
        <w:rPr>
          <w:color w:val="212121"/>
          <w:highlight w:val="white"/>
          <w:lang w:val="en-US"/>
        </w:rPr>
        <w:t>Nutr</w:t>
      </w:r>
      <w:proofErr w:type="spellEnd"/>
      <w:r w:rsidRPr="3589A5F9">
        <w:rPr>
          <w:color w:val="212121"/>
          <w:highlight w:val="white"/>
          <w:lang w:val="en-US"/>
        </w:rPr>
        <w:t xml:space="preserve"> </w:t>
      </w:r>
      <w:proofErr w:type="spellStart"/>
      <w:r w:rsidRPr="3589A5F9">
        <w:rPr>
          <w:color w:val="212121"/>
          <w:highlight w:val="white"/>
          <w:lang w:val="en-US"/>
        </w:rPr>
        <w:t>Metab</w:t>
      </w:r>
      <w:proofErr w:type="spellEnd"/>
      <w:r w:rsidRPr="3589A5F9">
        <w:rPr>
          <w:color w:val="212121"/>
          <w:highlight w:val="white"/>
          <w:lang w:val="en-US"/>
        </w:rPr>
        <w:t xml:space="preserve"> Cardiovasc Dis. 2023 Jun;33(6):1111-1120. </w:t>
      </w:r>
      <w:proofErr w:type="spellStart"/>
      <w:r w:rsidRPr="3589A5F9">
        <w:rPr>
          <w:color w:val="212121"/>
          <w:highlight w:val="white"/>
          <w:lang w:val="en-US"/>
        </w:rPr>
        <w:t>doi</w:t>
      </w:r>
      <w:proofErr w:type="spellEnd"/>
      <w:r w:rsidRPr="3589A5F9">
        <w:rPr>
          <w:color w:val="212121"/>
          <w:highlight w:val="white"/>
          <w:lang w:val="en-US"/>
        </w:rPr>
        <w:t xml:space="preserve">: 10.1016/j.numecd.2023.03.023. </w:t>
      </w:r>
      <w:proofErr w:type="spellStart"/>
      <w:r w:rsidRPr="3589A5F9">
        <w:rPr>
          <w:color w:val="212121"/>
          <w:highlight w:val="white"/>
          <w:lang w:val="en-US"/>
        </w:rPr>
        <w:t>Epub</w:t>
      </w:r>
      <w:proofErr w:type="spellEnd"/>
      <w:r w:rsidRPr="3589A5F9">
        <w:rPr>
          <w:color w:val="212121"/>
          <w:highlight w:val="white"/>
          <w:lang w:val="en-US"/>
        </w:rPr>
        <w:t xml:space="preserve"> 2023 Apr 5. PMID: 37100640. </w:t>
      </w:r>
      <w:r w:rsidRPr="3589A5F9">
        <w:rPr>
          <w:b/>
          <w:bCs/>
          <w:color w:val="212121"/>
          <w:highlight w:val="white"/>
          <w:lang w:val="en-US"/>
        </w:rPr>
        <w:t>(Narrative review with small RCTs, retrospective cohorts, and prospective cohorts)</w:t>
      </w:r>
    </w:p>
    <w:p w14:paraId="3F77ECAE" w14:textId="77777777" w:rsidR="00FC7458" w:rsidRDefault="006009D4">
      <w:pPr>
        <w:numPr>
          <w:ilvl w:val="0"/>
          <w:numId w:val="9"/>
        </w:numPr>
        <w:rPr>
          <w:color w:val="212121"/>
          <w:highlight w:val="white"/>
        </w:rPr>
      </w:pPr>
      <w:r>
        <w:rPr>
          <w:color w:val="212121"/>
          <w:highlight w:val="white"/>
        </w:rPr>
        <w:t xml:space="preserve">Koga M, Masao I. Dulaglutide using once-2 weeks for dialysis type 2 diabetes patients in Japan. </w:t>
      </w:r>
      <w:r>
        <w:rPr>
          <w:i/>
          <w:color w:val="212121"/>
          <w:highlight w:val="white"/>
        </w:rPr>
        <w:t>Diabetes Management</w:t>
      </w:r>
      <w:r>
        <w:rPr>
          <w:color w:val="212121"/>
          <w:highlight w:val="white"/>
        </w:rPr>
        <w:t xml:space="preserve">. 2019;9(3). </w:t>
      </w:r>
    </w:p>
    <w:p w14:paraId="76BFA081" w14:textId="77777777" w:rsidR="00FC7458" w:rsidRDefault="006009D4" w:rsidP="4F5192AF">
      <w:pPr>
        <w:numPr>
          <w:ilvl w:val="0"/>
          <w:numId w:val="9"/>
        </w:numPr>
        <w:rPr>
          <w:color w:val="212121"/>
          <w:highlight w:val="white"/>
          <w:lang w:val="en-US"/>
        </w:rPr>
      </w:pPr>
      <w:r w:rsidRPr="4F5192AF">
        <w:rPr>
          <w:color w:val="212121"/>
          <w:highlight w:val="white"/>
          <w:lang w:val="en-US"/>
        </w:rPr>
        <w:t xml:space="preserve">Yajima T, Yajima K, Hayashi M, Takahashi H, Yasuda K. Improved glycemic control with </w:t>
      </w:r>
      <w:proofErr w:type="gramStart"/>
      <w:r w:rsidRPr="4F5192AF">
        <w:rPr>
          <w:color w:val="212121"/>
          <w:highlight w:val="white"/>
          <w:lang w:val="en-US"/>
        </w:rPr>
        <w:t>once-weekly</w:t>
      </w:r>
      <w:proofErr w:type="gramEnd"/>
      <w:r w:rsidRPr="4F5192AF">
        <w:rPr>
          <w:color w:val="212121"/>
          <w:highlight w:val="white"/>
          <w:lang w:val="en-US"/>
        </w:rPr>
        <w:t xml:space="preserve"> dulaglutide in addition to insulin therapy in type 2 diabetes mellitus patients on hemodialysis evaluated by continuous glucose monitoring. J Diabetes Complications. 2018 Mar;32(3):310-315. </w:t>
      </w:r>
      <w:proofErr w:type="spellStart"/>
      <w:r w:rsidRPr="4F5192AF">
        <w:rPr>
          <w:color w:val="212121"/>
          <w:highlight w:val="white"/>
          <w:lang w:val="en-US"/>
        </w:rPr>
        <w:t>doi</w:t>
      </w:r>
      <w:proofErr w:type="spellEnd"/>
      <w:r w:rsidRPr="4F5192AF">
        <w:rPr>
          <w:color w:val="212121"/>
          <w:highlight w:val="white"/>
          <w:lang w:val="en-US"/>
        </w:rPr>
        <w:t xml:space="preserve">: 10.1016/j.jdiacomp.2017.12.005. </w:t>
      </w:r>
      <w:proofErr w:type="spellStart"/>
      <w:r w:rsidRPr="4F5192AF">
        <w:rPr>
          <w:color w:val="212121"/>
          <w:highlight w:val="white"/>
          <w:lang w:val="en-US"/>
        </w:rPr>
        <w:t>Epub</w:t>
      </w:r>
      <w:proofErr w:type="spellEnd"/>
      <w:r w:rsidRPr="4F5192AF">
        <w:rPr>
          <w:color w:val="212121"/>
          <w:highlight w:val="white"/>
          <w:lang w:val="en-US"/>
        </w:rPr>
        <w:t xml:space="preserve"> 2017 Dec 21. PMID: 29366733.</w:t>
      </w:r>
    </w:p>
    <w:p w14:paraId="307D7824" w14:textId="77777777" w:rsidR="00FC7458" w:rsidRDefault="00FC7458">
      <w:pPr>
        <w:rPr>
          <w:color w:val="212121"/>
          <w:highlight w:val="white"/>
        </w:rPr>
      </w:pPr>
    </w:p>
    <w:p w14:paraId="5876B98B" w14:textId="77777777" w:rsidR="00FC7458" w:rsidRDefault="00FC7458"/>
    <w:sectPr w:rsidR="00FC74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yUZlT9t" int2:invalidationBookmarkName="" int2:hashCode="fjYw+Imjmfo8kt" int2:id="WndjsUQH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9320"/>
    <w:multiLevelType w:val="hybridMultilevel"/>
    <w:tmpl w:val="5926925E"/>
    <w:lvl w:ilvl="0" w:tplc="C2F23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4C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02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48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09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07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8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6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86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34C"/>
    <w:multiLevelType w:val="multilevel"/>
    <w:tmpl w:val="04B864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ACC551"/>
    <w:multiLevelType w:val="hybridMultilevel"/>
    <w:tmpl w:val="711CAD1E"/>
    <w:lvl w:ilvl="0" w:tplc="F6D4B654">
      <w:start w:val="1"/>
      <w:numFmt w:val="decimal"/>
      <w:lvlText w:val="%1."/>
      <w:lvlJc w:val="left"/>
      <w:pPr>
        <w:ind w:left="720" w:hanging="360"/>
      </w:pPr>
    </w:lvl>
    <w:lvl w:ilvl="1" w:tplc="6630CA92">
      <w:start w:val="1"/>
      <w:numFmt w:val="lowerLetter"/>
      <w:lvlText w:val="%2."/>
      <w:lvlJc w:val="left"/>
      <w:pPr>
        <w:ind w:left="1440" w:hanging="360"/>
      </w:pPr>
    </w:lvl>
    <w:lvl w:ilvl="2" w:tplc="F656F8DE">
      <w:start w:val="1"/>
      <w:numFmt w:val="lowerRoman"/>
      <w:lvlText w:val="%3."/>
      <w:lvlJc w:val="right"/>
      <w:pPr>
        <w:ind w:left="2160" w:hanging="180"/>
      </w:pPr>
    </w:lvl>
    <w:lvl w:ilvl="3" w:tplc="FC2A742A">
      <w:start w:val="1"/>
      <w:numFmt w:val="decimal"/>
      <w:lvlText w:val="%4."/>
      <w:lvlJc w:val="left"/>
      <w:pPr>
        <w:ind w:left="2880" w:hanging="360"/>
      </w:pPr>
    </w:lvl>
    <w:lvl w:ilvl="4" w:tplc="EDE64216">
      <w:start w:val="1"/>
      <w:numFmt w:val="lowerLetter"/>
      <w:lvlText w:val="%5."/>
      <w:lvlJc w:val="left"/>
      <w:pPr>
        <w:ind w:left="3600" w:hanging="360"/>
      </w:pPr>
    </w:lvl>
    <w:lvl w:ilvl="5" w:tplc="A02068E8">
      <w:start w:val="1"/>
      <w:numFmt w:val="lowerRoman"/>
      <w:lvlText w:val="%6."/>
      <w:lvlJc w:val="right"/>
      <w:pPr>
        <w:ind w:left="4320" w:hanging="180"/>
      </w:pPr>
    </w:lvl>
    <w:lvl w:ilvl="6" w:tplc="F9B413BC">
      <w:start w:val="1"/>
      <w:numFmt w:val="decimal"/>
      <w:lvlText w:val="%7."/>
      <w:lvlJc w:val="left"/>
      <w:pPr>
        <w:ind w:left="5040" w:hanging="360"/>
      </w:pPr>
    </w:lvl>
    <w:lvl w:ilvl="7" w:tplc="501EE2DE">
      <w:start w:val="1"/>
      <w:numFmt w:val="lowerLetter"/>
      <w:lvlText w:val="%8."/>
      <w:lvlJc w:val="left"/>
      <w:pPr>
        <w:ind w:left="5760" w:hanging="360"/>
      </w:pPr>
    </w:lvl>
    <w:lvl w:ilvl="8" w:tplc="E7FA02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D1C1F"/>
    <w:multiLevelType w:val="hybridMultilevel"/>
    <w:tmpl w:val="F8FA2E14"/>
    <w:lvl w:ilvl="0" w:tplc="34AAAC32">
      <w:start w:val="1"/>
      <w:numFmt w:val="lowerLetter"/>
      <w:lvlText w:val="%1."/>
      <w:lvlJc w:val="left"/>
      <w:pPr>
        <w:ind w:left="1800" w:hanging="360"/>
      </w:pPr>
    </w:lvl>
    <w:lvl w:ilvl="1" w:tplc="A56EE650">
      <w:start w:val="1"/>
      <w:numFmt w:val="lowerLetter"/>
      <w:lvlText w:val="%2."/>
      <w:lvlJc w:val="left"/>
      <w:pPr>
        <w:ind w:left="2520" w:hanging="360"/>
      </w:pPr>
    </w:lvl>
    <w:lvl w:ilvl="2" w:tplc="4EF22A98">
      <w:start w:val="1"/>
      <w:numFmt w:val="lowerRoman"/>
      <w:lvlText w:val="%3."/>
      <w:lvlJc w:val="right"/>
      <w:pPr>
        <w:ind w:left="3240" w:hanging="180"/>
      </w:pPr>
    </w:lvl>
    <w:lvl w:ilvl="3" w:tplc="62CCCBB2">
      <w:start w:val="1"/>
      <w:numFmt w:val="decimal"/>
      <w:lvlText w:val="%4."/>
      <w:lvlJc w:val="left"/>
      <w:pPr>
        <w:ind w:left="3960" w:hanging="360"/>
      </w:pPr>
    </w:lvl>
    <w:lvl w:ilvl="4" w:tplc="E4842FD6">
      <w:start w:val="1"/>
      <w:numFmt w:val="lowerLetter"/>
      <w:lvlText w:val="%5."/>
      <w:lvlJc w:val="left"/>
      <w:pPr>
        <w:ind w:left="4680" w:hanging="360"/>
      </w:pPr>
    </w:lvl>
    <w:lvl w:ilvl="5" w:tplc="9266C3E2">
      <w:start w:val="1"/>
      <w:numFmt w:val="lowerRoman"/>
      <w:lvlText w:val="%6."/>
      <w:lvlJc w:val="right"/>
      <w:pPr>
        <w:ind w:left="5400" w:hanging="180"/>
      </w:pPr>
    </w:lvl>
    <w:lvl w:ilvl="6" w:tplc="5D6ED052">
      <w:start w:val="1"/>
      <w:numFmt w:val="decimal"/>
      <w:lvlText w:val="%7."/>
      <w:lvlJc w:val="left"/>
      <w:pPr>
        <w:ind w:left="6120" w:hanging="360"/>
      </w:pPr>
    </w:lvl>
    <w:lvl w:ilvl="7" w:tplc="7CA062F6">
      <w:start w:val="1"/>
      <w:numFmt w:val="lowerLetter"/>
      <w:lvlText w:val="%8."/>
      <w:lvlJc w:val="left"/>
      <w:pPr>
        <w:ind w:left="6840" w:hanging="360"/>
      </w:pPr>
    </w:lvl>
    <w:lvl w:ilvl="8" w:tplc="DAA0ADF4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5729B"/>
    <w:multiLevelType w:val="hybridMultilevel"/>
    <w:tmpl w:val="183CFCCC"/>
    <w:lvl w:ilvl="0" w:tplc="B87A9BCE">
      <w:start w:val="1"/>
      <w:numFmt w:val="decimal"/>
      <w:lvlText w:val="%1."/>
      <w:lvlJc w:val="left"/>
      <w:pPr>
        <w:ind w:left="720" w:hanging="360"/>
      </w:pPr>
    </w:lvl>
    <w:lvl w:ilvl="1" w:tplc="9424CF7E">
      <w:start w:val="1"/>
      <w:numFmt w:val="lowerLetter"/>
      <w:lvlText w:val="%2."/>
      <w:lvlJc w:val="left"/>
      <w:pPr>
        <w:ind w:left="1440" w:hanging="360"/>
      </w:pPr>
    </w:lvl>
    <w:lvl w:ilvl="2" w:tplc="89CCB688">
      <w:start w:val="1"/>
      <w:numFmt w:val="lowerRoman"/>
      <w:lvlText w:val="%3."/>
      <w:lvlJc w:val="right"/>
      <w:pPr>
        <w:ind w:left="2160" w:hanging="180"/>
      </w:pPr>
    </w:lvl>
    <w:lvl w:ilvl="3" w:tplc="204C5A08">
      <w:start w:val="1"/>
      <w:numFmt w:val="decimal"/>
      <w:lvlText w:val="%4."/>
      <w:lvlJc w:val="left"/>
      <w:pPr>
        <w:ind w:left="2880" w:hanging="360"/>
      </w:pPr>
    </w:lvl>
    <w:lvl w:ilvl="4" w:tplc="5E94A890">
      <w:start w:val="1"/>
      <w:numFmt w:val="lowerLetter"/>
      <w:lvlText w:val="%5."/>
      <w:lvlJc w:val="left"/>
      <w:pPr>
        <w:ind w:left="3600" w:hanging="360"/>
      </w:pPr>
    </w:lvl>
    <w:lvl w:ilvl="5" w:tplc="2BB2B512">
      <w:start w:val="1"/>
      <w:numFmt w:val="lowerRoman"/>
      <w:lvlText w:val="%6."/>
      <w:lvlJc w:val="right"/>
      <w:pPr>
        <w:ind w:left="4320" w:hanging="180"/>
      </w:pPr>
    </w:lvl>
    <w:lvl w:ilvl="6" w:tplc="EF6239CA">
      <w:start w:val="1"/>
      <w:numFmt w:val="decimal"/>
      <w:lvlText w:val="%7."/>
      <w:lvlJc w:val="left"/>
      <w:pPr>
        <w:ind w:left="5040" w:hanging="360"/>
      </w:pPr>
    </w:lvl>
    <w:lvl w:ilvl="7" w:tplc="60563F9E">
      <w:start w:val="1"/>
      <w:numFmt w:val="lowerLetter"/>
      <w:lvlText w:val="%8."/>
      <w:lvlJc w:val="left"/>
      <w:pPr>
        <w:ind w:left="5760" w:hanging="360"/>
      </w:pPr>
    </w:lvl>
    <w:lvl w:ilvl="8" w:tplc="04B057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56232"/>
    <w:multiLevelType w:val="hybridMultilevel"/>
    <w:tmpl w:val="ECFC05A8"/>
    <w:lvl w:ilvl="0" w:tplc="55120E08">
      <w:start w:val="1"/>
      <w:numFmt w:val="decimal"/>
      <w:lvlText w:val="%1."/>
      <w:lvlJc w:val="left"/>
      <w:pPr>
        <w:ind w:left="720" w:hanging="360"/>
      </w:pPr>
    </w:lvl>
    <w:lvl w:ilvl="1" w:tplc="A7840D0C">
      <w:start w:val="1"/>
      <w:numFmt w:val="lowerLetter"/>
      <w:lvlText w:val="%2."/>
      <w:lvlJc w:val="left"/>
      <w:pPr>
        <w:ind w:left="1440" w:hanging="360"/>
      </w:pPr>
    </w:lvl>
    <w:lvl w:ilvl="2" w:tplc="F15E3068">
      <w:start w:val="1"/>
      <w:numFmt w:val="lowerRoman"/>
      <w:lvlText w:val="%3."/>
      <w:lvlJc w:val="right"/>
      <w:pPr>
        <w:ind w:left="2160" w:hanging="180"/>
      </w:pPr>
    </w:lvl>
    <w:lvl w:ilvl="3" w:tplc="6E7AAF96">
      <w:start w:val="1"/>
      <w:numFmt w:val="decimal"/>
      <w:lvlText w:val="%4."/>
      <w:lvlJc w:val="left"/>
      <w:pPr>
        <w:ind w:left="2880" w:hanging="360"/>
      </w:pPr>
    </w:lvl>
    <w:lvl w:ilvl="4" w:tplc="7C1241BA">
      <w:start w:val="1"/>
      <w:numFmt w:val="lowerLetter"/>
      <w:lvlText w:val="%5."/>
      <w:lvlJc w:val="left"/>
      <w:pPr>
        <w:ind w:left="3600" w:hanging="360"/>
      </w:pPr>
    </w:lvl>
    <w:lvl w:ilvl="5" w:tplc="D2045D98">
      <w:start w:val="1"/>
      <w:numFmt w:val="lowerRoman"/>
      <w:lvlText w:val="%6."/>
      <w:lvlJc w:val="right"/>
      <w:pPr>
        <w:ind w:left="4320" w:hanging="180"/>
      </w:pPr>
    </w:lvl>
    <w:lvl w:ilvl="6" w:tplc="0A8613EE">
      <w:start w:val="1"/>
      <w:numFmt w:val="decimal"/>
      <w:lvlText w:val="%7."/>
      <w:lvlJc w:val="left"/>
      <w:pPr>
        <w:ind w:left="5040" w:hanging="360"/>
      </w:pPr>
    </w:lvl>
    <w:lvl w:ilvl="7" w:tplc="1794F680">
      <w:start w:val="1"/>
      <w:numFmt w:val="lowerLetter"/>
      <w:lvlText w:val="%8."/>
      <w:lvlJc w:val="left"/>
      <w:pPr>
        <w:ind w:left="5760" w:hanging="360"/>
      </w:pPr>
    </w:lvl>
    <w:lvl w:ilvl="8" w:tplc="4658F7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C4794"/>
    <w:multiLevelType w:val="hybridMultilevel"/>
    <w:tmpl w:val="9B569C5E"/>
    <w:lvl w:ilvl="0" w:tplc="3DAC3F56">
      <w:start w:val="1"/>
      <w:numFmt w:val="decimal"/>
      <w:lvlText w:val="%1."/>
      <w:lvlJc w:val="left"/>
      <w:pPr>
        <w:ind w:left="720" w:hanging="360"/>
      </w:pPr>
    </w:lvl>
    <w:lvl w:ilvl="1" w:tplc="4650B994">
      <w:start w:val="1"/>
      <w:numFmt w:val="lowerLetter"/>
      <w:lvlText w:val="%2."/>
      <w:lvlJc w:val="left"/>
      <w:pPr>
        <w:ind w:left="1440" w:hanging="360"/>
      </w:pPr>
    </w:lvl>
    <w:lvl w:ilvl="2" w:tplc="F610828A">
      <w:start w:val="1"/>
      <w:numFmt w:val="lowerRoman"/>
      <w:lvlText w:val="%3."/>
      <w:lvlJc w:val="right"/>
      <w:pPr>
        <w:ind w:left="2160" w:hanging="180"/>
      </w:pPr>
    </w:lvl>
    <w:lvl w:ilvl="3" w:tplc="59046496">
      <w:start w:val="1"/>
      <w:numFmt w:val="decimal"/>
      <w:lvlText w:val="%4."/>
      <w:lvlJc w:val="left"/>
      <w:pPr>
        <w:ind w:left="2880" w:hanging="360"/>
      </w:pPr>
    </w:lvl>
    <w:lvl w:ilvl="4" w:tplc="53E4AA2C">
      <w:start w:val="1"/>
      <w:numFmt w:val="lowerLetter"/>
      <w:lvlText w:val="%5."/>
      <w:lvlJc w:val="left"/>
      <w:pPr>
        <w:ind w:left="3600" w:hanging="360"/>
      </w:pPr>
    </w:lvl>
    <w:lvl w:ilvl="5" w:tplc="DC08C774">
      <w:start w:val="1"/>
      <w:numFmt w:val="lowerRoman"/>
      <w:lvlText w:val="%6."/>
      <w:lvlJc w:val="right"/>
      <w:pPr>
        <w:ind w:left="4320" w:hanging="180"/>
      </w:pPr>
    </w:lvl>
    <w:lvl w:ilvl="6" w:tplc="4DB69A9A">
      <w:start w:val="1"/>
      <w:numFmt w:val="decimal"/>
      <w:lvlText w:val="%7."/>
      <w:lvlJc w:val="left"/>
      <w:pPr>
        <w:ind w:left="5040" w:hanging="360"/>
      </w:pPr>
    </w:lvl>
    <w:lvl w:ilvl="7" w:tplc="A808DE04">
      <w:start w:val="1"/>
      <w:numFmt w:val="lowerLetter"/>
      <w:lvlText w:val="%8."/>
      <w:lvlJc w:val="left"/>
      <w:pPr>
        <w:ind w:left="5760" w:hanging="360"/>
      </w:pPr>
    </w:lvl>
    <w:lvl w:ilvl="8" w:tplc="F83837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634B9"/>
    <w:multiLevelType w:val="hybridMultilevel"/>
    <w:tmpl w:val="2F54FA44"/>
    <w:lvl w:ilvl="0" w:tplc="A5C64948">
      <w:start w:val="1"/>
      <w:numFmt w:val="decimal"/>
      <w:lvlText w:val="%1."/>
      <w:lvlJc w:val="left"/>
      <w:pPr>
        <w:ind w:left="720" w:hanging="360"/>
      </w:pPr>
    </w:lvl>
    <w:lvl w:ilvl="1" w:tplc="DD1888BA">
      <w:start w:val="1"/>
      <w:numFmt w:val="lowerLetter"/>
      <w:lvlText w:val="%2."/>
      <w:lvlJc w:val="left"/>
      <w:pPr>
        <w:ind w:left="1440" w:hanging="360"/>
      </w:pPr>
    </w:lvl>
    <w:lvl w:ilvl="2" w:tplc="BD8AF430">
      <w:start w:val="1"/>
      <w:numFmt w:val="lowerRoman"/>
      <w:lvlText w:val="%3."/>
      <w:lvlJc w:val="right"/>
      <w:pPr>
        <w:ind w:left="2160" w:hanging="180"/>
      </w:pPr>
    </w:lvl>
    <w:lvl w:ilvl="3" w:tplc="5AF27B6E">
      <w:start w:val="1"/>
      <w:numFmt w:val="decimal"/>
      <w:lvlText w:val="%4."/>
      <w:lvlJc w:val="left"/>
      <w:pPr>
        <w:ind w:left="2880" w:hanging="360"/>
      </w:pPr>
    </w:lvl>
    <w:lvl w:ilvl="4" w:tplc="C592239C">
      <w:start w:val="1"/>
      <w:numFmt w:val="lowerLetter"/>
      <w:lvlText w:val="%5."/>
      <w:lvlJc w:val="left"/>
      <w:pPr>
        <w:ind w:left="3600" w:hanging="360"/>
      </w:pPr>
    </w:lvl>
    <w:lvl w:ilvl="5" w:tplc="767A9B1C">
      <w:start w:val="1"/>
      <w:numFmt w:val="lowerRoman"/>
      <w:lvlText w:val="%6."/>
      <w:lvlJc w:val="right"/>
      <w:pPr>
        <w:ind w:left="4320" w:hanging="180"/>
      </w:pPr>
    </w:lvl>
    <w:lvl w:ilvl="6" w:tplc="0EE2642A">
      <w:start w:val="1"/>
      <w:numFmt w:val="decimal"/>
      <w:lvlText w:val="%7."/>
      <w:lvlJc w:val="left"/>
      <w:pPr>
        <w:ind w:left="5040" w:hanging="360"/>
      </w:pPr>
    </w:lvl>
    <w:lvl w:ilvl="7" w:tplc="2B780B80">
      <w:start w:val="1"/>
      <w:numFmt w:val="lowerLetter"/>
      <w:lvlText w:val="%8."/>
      <w:lvlJc w:val="left"/>
      <w:pPr>
        <w:ind w:left="5760" w:hanging="360"/>
      </w:pPr>
    </w:lvl>
    <w:lvl w:ilvl="8" w:tplc="765E5A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611F9"/>
    <w:multiLevelType w:val="multilevel"/>
    <w:tmpl w:val="743CC2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08241596">
    <w:abstractNumId w:val="7"/>
  </w:num>
  <w:num w:numId="2" w16cid:durableId="1670979894">
    <w:abstractNumId w:val="3"/>
  </w:num>
  <w:num w:numId="3" w16cid:durableId="1236624333">
    <w:abstractNumId w:val="4"/>
  </w:num>
  <w:num w:numId="4" w16cid:durableId="1619142787">
    <w:abstractNumId w:val="2"/>
  </w:num>
  <w:num w:numId="5" w16cid:durableId="1305424081">
    <w:abstractNumId w:val="6"/>
  </w:num>
  <w:num w:numId="6" w16cid:durableId="2032996792">
    <w:abstractNumId w:val="0"/>
  </w:num>
  <w:num w:numId="7" w16cid:durableId="1847478721">
    <w:abstractNumId w:val="5"/>
  </w:num>
  <w:num w:numId="8" w16cid:durableId="1052926426">
    <w:abstractNumId w:val="1"/>
  </w:num>
  <w:num w:numId="9" w16cid:durableId="15515757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58"/>
    <w:rsid w:val="002F37FC"/>
    <w:rsid w:val="00360F1D"/>
    <w:rsid w:val="004E0288"/>
    <w:rsid w:val="00574593"/>
    <w:rsid w:val="006009D4"/>
    <w:rsid w:val="006539F9"/>
    <w:rsid w:val="0070692C"/>
    <w:rsid w:val="0071323B"/>
    <w:rsid w:val="007960FA"/>
    <w:rsid w:val="008DC963"/>
    <w:rsid w:val="009032F0"/>
    <w:rsid w:val="00974FA5"/>
    <w:rsid w:val="00A43DC6"/>
    <w:rsid w:val="00A62B47"/>
    <w:rsid w:val="00A726D6"/>
    <w:rsid w:val="00AA26D8"/>
    <w:rsid w:val="00B222D9"/>
    <w:rsid w:val="00BC3EA2"/>
    <w:rsid w:val="00DD6C67"/>
    <w:rsid w:val="00FC7458"/>
    <w:rsid w:val="012191BF"/>
    <w:rsid w:val="0224577E"/>
    <w:rsid w:val="023061B1"/>
    <w:rsid w:val="0238E972"/>
    <w:rsid w:val="03EE04D1"/>
    <w:rsid w:val="0481D18D"/>
    <w:rsid w:val="04867BF3"/>
    <w:rsid w:val="04F6590D"/>
    <w:rsid w:val="056A0960"/>
    <w:rsid w:val="060B8FD4"/>
    <w:rsid w:val="077A4226"/>
    <w:rsid w:val="07B1167A"/>
    <w:rsid w:val="07CD18D1"/>
    <w:rsid w:val="094E12D2"/>
    <w:rsid w:val="097402A7"/>
    <w:rsid w:val="0994927E"/>
    <w:rsid w:val="09E566C3"/>
    <w:rsid w:val="0A8E18DC"/>
    <w:rsid w:val="0AB9CFE1"/>
    <w:rsid w:val="0B293EF8"/>
    <w:rsid w:val="0B42F80C"/>
    <w:rsid w:val="0B48BDC6"/>
    <w:rsid w:val="0BE789D4"/>
    <w:rsid w:val="0C3A9FBB"/>
    <w:rsid w:val="0CB03971"/>
    <w:rsid w:val="0CC5FB2E"/>
    <w:rsid w:val="0D5231FC"/>
    <w:rsid w:val="0DB2B0B4"/>
    <w:rsid w:val="0EE51938"/>
    <w:rsid w:val="0FB946E4"/>
    <w:rsid w:val="0FE42870"/>
    <w:rsid w:val="10A66E08"/>
    <w:rsid w:val="10AA0B70"/>
    <w:rsid w:val="10BE833D"/>
    <w:rsid w:val="10E4CCD6"/>
    <w:rsid w:val="1256D5B1"/>
    <w:rsid w:val="12C80F4E"/>
    <w:rsid w:val="12CA941E"/>
    <w:rsid w:val="13861CCF"/>
    <w:rsid w:val="14A66857"/>
    <w:rsid w:val="14B7A2A2"/>
    <w:rsid w:val="14B9962C"/>
    <w:rsid w:val="15EE8E17"/>
    <w:rsid w:val="1687735A"/>
    <w:rsid w:val="16AE9009"/>
    <w:rsid w:val="17222CF1"/>
    <w:rsid w:val="17265B8B"/>
    <w:rsid w:val="178CF0C1"/>
    <w:rsid w:val="17E5A27D"/>
    <w:rsid w:val="185046BA"/>
    <w:rsid w:val="18A00D62"/>
    <w:rsid w:val="19993D11"/>
    <w:rsid w:val="1B175953"/>
    <w:rsid w:val="1B1D7A09"/>
    <w:rsid w:val="1B7D5D1B"/>
    <w:rsid w:val="1BA12E45"/>
    <w:rsid w:val="1BD87480"/>
    <w:rsid w:val="1C0EDDDD"/>
    <w:rsid w:val="1CA7B43B"/>
    <w:rsid w:val="1CDF2D26"/>
    <w:rsid w:val="1D1B52B1"/>
    <w:rsid w:val="1D3AC846"/>
    <w:rsid w:val="1D9080C6"/>
    <w:rsid w:val="1DAF7917"/>
    <w:rsid w:val="1DE766BD"/>
    <w:rsid w:val="1E4C98C1"/>
    <w:rsid w:val="1E6B4EE6"/>
    <w:rsid w:val="1E788767"/>
    <w:rsid w:val="1E94E91B"/>
    <w:rsid w:val="1FBF0CEF"/>
    <w:rsid w:val="2040B043"/>
    <w:rsid w:val="210908AF"/>
    <w:rsid w:val="223DF756"/>
    <w:rsid w:val="23BA99F8"/>
    <w:rsid w:val="24C6AF46"/>
    <w:rsid w:val="253F8EDB"/>
    <w:rsid w:val="25F73817"/>
    <w:rsid w:val="2674C8BB"/>
    <w:rsid w:val="28144A90"/>
    <w:rsid w:val="2864CE69"/>
    <w:rsid w:val="28BCD797"/>
    <w:rsid w:val="29053F46"/>
    <w:rsid w:val="29E0A353"/>
    <w:rsid w:val="29F9EA07"/>
    <w:rsid w:val="2A7C55D8"/>
    <w:rsid w:val="2BBB5685"/>
    <w:rsid w:val="2C05B5C5"/>
    <w:rsid w:val="2C281163"/>
    <w:rsid w:val="2C64B351"/>
    <w:rsid w:val="2DEE359A"/>
    <w:rsid w:val="2FBC8504"/>
    <w:rsid w:val="2FF6531E"/>
    <w:rsid w:val="303BF634"/>
    <w:rsid w:val="30BF0FC7"/>
    <w:rsid w:val="31078411"/>
    <w:rsid w:val="315D816B"/>
    <w:rsid w:val="31717ECB"/>
    <w:rsid w:val="31F11815"/>
    <w:rsid w:val="328ABBCF"/>
    <w:rsid w:val="3292C9F5"/>
    <w:rsid w:val="34020893"/>
    <w:rsid w:val="34F36521"/>
    <w:rsid w:val="3521F232"/>
    <w:rsid w:val="3589A5F9"/>
    <w:rsid w:val="35EF3A4B"/>
    <w:rsid w:val="35FB7B36"/>
    <w:rsid w:val="367DFCB0"/>
    <w:rsid w:val="36B45B8B"/>
    <w:rsid w:val="36BB54C0"/>
    <w:rsid w:val="37CFAD12"/>
    <w:rsid w:val="37D1E83D"/>
    <w:rsid w:val="3894F130"/>
    <w:rsid w:val="38D4F7D1"/>
    <w:rsid w:val="399628FC"/>
    <w:rsid w:val="39D2D506"/>
    <w:rsid w:val="3AC75B40"/>
    <w:rsid w:val="3B6615DD"/>
    <w:rsid w:val="3B7028F1"/>
    <w:rsid w:val="3B7446A9"/>
    <w:rsid w:val="3BCCE416"/>
    <w:rsid w:val="3C572148"/>
    <w:rsid w:val="3C709B1E"/>
    <w:rsid w:val="3D6684D0"/>
    <w:rsid w:val="3E0A5E5B"/>
    <w:rsid w:val="3E363617"/>
    <w:rsid w:val="3EEF0DB3"/>
    <w:rsid w:val="401E5E05"/>
    <w:rsid w:val="404A9C86"/>
    <w:rsid w:val="40E0F249"/>
    <w:rsid w:val="41155694"/>
    <w:rsid w:val="419B27B4"/>
    <w:rsid w:val="41AEEDB6"/>
    <w:rsid w:val="41CAD4DD"/>
    <w:rsid w:val="41FECE7B"/>
    <w:rsid w:val="425ECE15"/>
    <w:rsid w:val="4264AC38"/>
    <w:rsid w:val="431C8745"/>
    <w:rsid w:val="436F28E3"/>
    <w:rsid w:val="43AA1C15"/>
    <w:rsid w:val="43DC92C2"/>
    <w:rsid w:val="442CC323"/>
    <w:rsid w:val="443B55C8"/>
    <w:rsid w:val="45462CAB"/>
    <w:rsid w:val="47E90905"/>
    <w:rsid w:val="48B67EC8"/>
    <w:rsid w:val="49D4E27D"/>
    <w:rsid w:val="49FF421B"/>
    <w:rsid w:val="4A22AEEF"/>
    <w:rsid w:val="4B0D0566"/>
    <w:rsid w:val="4B11F901"/>
    <w:rsid w:val="4B5B1AC0"/>
    <w:rsid w:val="4B76E623"/>
    <w:rsid w:val="4C7C61A7"/>
    <w:rsid w:val="4D5E094B"/>
    <w:rsid w:val="4F1FA45A"/>
    <w:rsid w:val="4F5192AF"/>
    <w:rsid w:val="4FBF16E0"/>
    <w:rsid w:val="50648800"/>
    <w:rsid w:val="506DF9A5"/>
    <w:rsid w:val="51604D9E"/>
    <w:rsid w:val="519092E8"/>
    <w:rsid w:val="51E5C512"/>
    <w:rsid w:val="51EF95E5"/>
    <w:rsid w:val="52318D3E"/>
    <w:rsid w:val="525FCAC5"/>
    <w:rsid w:val="5289B375"/>
    <w:rsid w:val="52B7D8A3"/>
    <w:rsid w:val="52F78137"/>
    <w:rsid w:val="53054768"/>
    <w:rsid w:val="54AA99C2"/>
    <w:rsid w:val="555F9644"/>
    <w:rsid w:val="556C41A0"/>
    <w:rsid w:val="565B0D21"/>
    <w:rsid w:val="56A444C6"/>
    <w:rsid w:val="56CCD700"/>
    <w:rsid w:val="56E4E440"/>
    <w:rsid w:val="5786A2B7"/>
    <w:rsid w:val="57A033A1"/>
    <w:rsid w:val="58347CB5"/>
    <w:rsid w:val="58D2B77A"/>
    <w:rsid w:val="597A39A7"/>
    <w:rsid w:val="597E9084"/>
    <w:rsid w:val="599BA269"/>
    <w:rsid w:val="59D879DB"/>
    <w:rsid w:val="5B796BCA"/>
    <w:rsid w:val="5C4A6CCB"/>
    <w:rsid w:val="5C767101"/>
    <w:rsid w:val="5D002C5F"/>
    <w:rsid w:val="5D89E9DD"/>
    <w:rsid w:val="5D98D6FA"/>
    <w:rsid w:val="5E24EF7D"/>
    <w:rsid w:val="5E713643"/>
    <w:rsid w:val="5F25CEA7"/>
    <w:rsid w:val="613B3B1E"/>
    <w:rsid w:val="61BC739E"/>
    <w:rsid w:val="61C11296"/>
    <w:rsid w:val="6263AEAA"/>
    <w:rsid w:val="62A255FF"/>
    <w:rsid w:val="62AEAABE"/>
    <w:rsid w:val="649C64CA"/>
    <w:rsid w:val="657D4058"/>
    <w:rsid w:val="6593C59D"/>
    <w:rsid w:val="67576473"/>
    <w:rsid w:val="67E6230E"/>
    <w:rsid w:val="68002F85"/>
    <w:rsid w:val="680147B4"/>
    <w:rsid w:val="6891BC5F"/>
    <w:rsid w:val="6987F31C"/>
    <w:rsid w:val="69C9A09E"/>
    <w:rsid w:val="6A030C0C"/>
    <w:rsid w:val="6A3A7731"/>
    <w:rsid w:val="6A3C9096"/>
    <w:rsid w:val="6A3CF8DF"/>
    <w:rsid w:val="6C12D196"/>
    <w:rsid w:val="6C41D48B"/>
    <w:rsid w:val="6C44C412"/>
    <w:rsid w:val="6CD00AFD"/>
    <w:rsid w:val="6CE061C3"/>
    <w:rsid w:val="6CEA5C74"/>
    <w:rsid w:val="6DA86FAB"/>
    <w:rsid w:val="6DAFC938"/>
    <w:rsid w:val="6E203F90"/>
    <w:rsid w:val="6E6E1690"/>
    <w:rsid w:val="6EA83F37"/>
    <w:rsid w:val="6EBAB1EF"/>
    <w:rsid w:val="6F7188F8"/>
    <w:rsid w:val="6F7D6757"/>
    <w:rsid w:val="6FBA9E89"/>
    <w:rsid w:val="7041DBC4"/>
    <w:rsid w:val="70E6A4AC"/>
    <w:rsid w:val="71271384"/>
    <w:rsid w:val="714F2CD9"/>
    <w:rsid w:val="715CA087"/>
    <w:rsid w:val="71A6802D"/>
    <w:rsid w:val="71DBFCF1"/>
    <w:rsid w:val="71E73BE0"/>
    <w:rsid w:val="7248B2C2"/>
    <w:rsid w:val="72491E60"/>
    <w:rsid w:val="72F0B91D"/>
    <w:rsid w:val="73FACF99"/>
    <w:rsid w:val="73FFBFC1"/>
    <w:rsid w:val="74D46B2F"/>
    <w:rsid w:val="74EB62FC"/>
    <w:rsid w:val="756C4E19"/>
    <w:rsid w:val="7680CCEB"/>
    <w:rsid w:val="77339373"/>
    <w:rsid w:val="77B5F3D0"/>
    <w:rsid w:val="7821276E"/>
    <w:rsid w:val="793E2286"/>
    <w:rsid w:val="797333F3"/>
    <w:rsid w:val="797D5D42"/>
    <w:rsid w:val="79A9C7C1"/>
    <w:rsid w:val="79B2661C"/>
    <w:rsid w:val="79D49BB7"/>
    <w:rsid w:val="7AE057AA"/>
    <w:rsid w:val="7B9A8CE4"/>
    <w:rsid w:val="7BC674D4"/>
    <w:rsid w:val="7CA3E9C3"/>
    <w:rsid w:val="7CDE05A8"/>
    <w:rsid w:val="7DDD362B"/>
    <w:rsid w:val="7FE6E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CFA6"/>
  <w15:docId w15:val="{101C85F7-FA17-4106-90A6-9CD2D3C8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534AD135D6429C2B86624F7BA362" ma:contentTypeVersion="11" ma:contentTypeDescription="Create a new document." ma:contentTypeScope="" ma:versionID="7d3e9eb04654e0a9c03c58e6a19b1d8d">
  <xsd:schema xmlns:xsd="http://www.w3.org/2001/XMLSchema" xmlns:xs="http://www.w3.org/2001/XMLSchema" xmlns:p="http://schemas.microsoft.com/office/2006/metadata/properties" xmlns:ns3="caaecd80-682e-4a17-9b1c-111b92bb52d1" xmlns:ns4="30cbc77d-a65f-49e0-b1bf-d6135a9b5f58" targetNamespace="http://schemas.microsoft.com/office/2006/metadata/properties" ma:root="true" ma:fieldsID="24ebad88dabaa9b92b698fad2ba64d85" ns3:_="" ns4:_="">
    <xsd:import namespace="caaecd80-682e-4a17-9b1c-111b92bb52d1"/>
    <xsd:import namespace="30cbc77d-a65f-49e0-b1bf-d6135a9b5f5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ecd80-682e-4a17-9b1c-111b92bb52d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c77d-a65f-49e0-b1bf-d6135a9b5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aecd80-682e-4a17-9b1c-111b92bb52d1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ZtmvSkJjjBDd+voCyxakT8gMnw==">CgMxLjA4AHIhMWt4aTdwSS1WNzdDZlNYVnl1bXFyZmVka1pYekc0a1Jm</go:docsCustomData>
</go:gDocsCustomXmlDataStorage>
</file>

<file path=customXml/itemProps1.xml><?xml version="1.0" encoding="utf-8"?>
<ds:datastoreItem xmlns:ds="http://schemas.openxmlformats.org/officeDocument/2006/customXml" ds:itemID="{B5B4D75A-02C2-4A3E-AC6D-E6074C12D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ecd80-682e-4a17-9b1c-111b92bb52d1"/>
    <ds:schemaRef ds:uri="30cbc77d-a65f-49e0-b1bf-d6135a9b5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0FC96-32C1-46D5-9423-C2CA9040C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9170F-4FC4-4727-86D0-BBABDAD75895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30cbc77d-a65f-49e0-b1bf-d6135a9b5f58"/>
    <ds:schemaRef ds:uri="caaecd80-682e-4a17-9b1c-111b92bb5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1437</Words>
  <Characters>8192</Characters>
  <Application>Microsoft Office Word</Application>
  <DocSecurity>0</DocSecurity>
  <Lines>68</Lines>
  <Paragraphs>19</Paragraphs>
  <ScaleCrop>false</ScaleCrop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T.  Herring</dc:creator>
  <cp:keywords/>
  <cp:lastModifiedBy>Charles T.  Herring</cp:lastModifiedBy>
  <cp:revision>2</cp:revision>
  <dcterms:created xsi:type="dcterms:W3CDTF">2024-11-26T17:52:00Z</dcterms:created>
  <dcterms:modified xsi:type="dcterms:W3CDTF">2024-11-26T17:52:00Z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0x010100D1DB534AD135D6429C2B86624F7BA362</vt:lpwstr>
  </property>
</Properties>
</file>