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EED4B" w14:textId="77777777" w:rsidR="0019002E" w:rsidRPr="0019002E" w:rsidRDefault="0019002E" w:rsidP="0019002E">
      <w:pPr>
        <w:autoSpaceDE w:val="0"/>
        <w:autoSpaceDN w:val="0"/>
        <w:adjustRightInd w:val="0"/>
        <w:spacing w:after="0" w:line="240" w:lineRule="auto"/>
        <w:jc w:val="center"/>
        <w:rPr>
          <w:rFonts w:ascii="Calibri" w:hAnsi="Calibri" w:cs="Calibri"/>
          <w:kern w:val="0"/>
          <w:sz w:val="28"/>
          <w:szCs w:val="28"/>
        </w:rPr>
      </w:pPr>
      <w:r w:rsidRPr="0019002E">
        <w:rPr>
          <w:rFonts w:ascii="Times New Roman" w:hAnsi="Times New Roman" w:cs="Times New Roman"/>
          <w:kern w:val="0"/>
          <w:sz w:val="24"/>
          <w:szCs w:val="24"/>
          <w:lang w:val="en-CA"/>
        </w:rPr>
        <w:fldChar w:fldCharType="begin"/>
      </w:r>
      <w:r w:rsidRPr="0019002E">
        <w:rPr>
          <w:rFonts w:ascii="Times New Roman" w:hAnsi="Times New Roman" w:cs="Times New Roman"/>
          <w:kern w:val="0"/>
          <w:sz w:val="24"/>
          <w:szCs w:val="24"/>
          <w:lang w:val="en-CA"/>
        </w:rPr>
        <w:instrText xml:space="preserve"> SEQ CHAPTER \h \r 1</w:instrText>
      </w:r>
      <w:r w:rsidRPr="0019002E">
        <w:rPr>
          <w:rFonts w:ascii="Times New Roman" w:hAnsi="Times New Roman" w:cs="Times New Roman"/>
          <w:kern w:val="0"/>
          <w:sz w:val="24"/>
          <w:szCs w:val="24"/>
          <w:lang w:val="en-CA"/>
        </w:rPr>
        <w:fldChar w:fldCharType="end"/>
      </w:r>
      <w:r w:rsidRPr="0019002E">
        <w:rPr>
          <w:rFonts w:ascii="Calibri" w:hAnsi="Calibri" w:cs="Calibri"/>
          <w:kern w:val="0"/>
          <w:sz w:val="28"/>
          <w:szCs w:val="28"/>
        </w:rPr>
        <w:t>Campbell University School of Law</w:t>
      </w:r>
    </w:p>
    <w:p w14:paraId="33124A29" w14:textId="77777777" w:rsidR="0019002E" w:rsidRPr="0019002E" w:rsidRDefault="0019002E" w:rsidP="0019002E">
      <w:pPr>
        <w:autoSpaceDE w:val="0"/>
        <w:autoSpaceDN w:val="0"/>
        <w:adjustRightInd w:val="0"/>
        <w:spacing w:after="0" w:line="240" w:lineRule="auto"/>
        <w:jc w:val="center"/>
        <w:rPr>
          <w:rFonts w:ascii="Calibri" w:hAnsi="Calibri" w:cs="Calibri"/>
          <w:kern w:val="0"/>
          <w:sz w:val="28"/>
          <w:szCs w:val="28"/>
        </w:rPr>
      </w:pPr>
      <w:r w:rsidRPr="0019002E">
        <w:rPr>
          <w:rFonts w:ascii="Calibri" w:hAnsi="Calibri" w:cs="Calibri"/>
          <w:kern w:val="0"/>
          <w:sz w:val="28"/>
          <w:szCs w:val="28"/>
        </w:rPr>
        <w:t>LRW Scholar Application</w:t>
      </w:r>
    </w:p>
    <w:p w14:paraId="5FB3E0A8" w14:textId="77777777" w:rsidR="0019002E" w:rsidRPr="0019002E" w:rsidRDefault="0019002E" w:rsidP="0019002E">
      <w:pPr>
        <w:autoSpaceDE w:val="0"/>
        <w:autoSpaceDN w:val="0"/>
        <w:adjustRightInd w:val="0"/>
        <w:spacing w:after="0" w:line="240" w:lineRule="auto"/>
        <w:jc w:val="center"/>
        <w:rPr>
          <w:rFonts w:ascii="Calibri" w:hAnsi="Calibri" w:cs="Calibri"/>
          <w:kern w:val="0"/>
          <w:sz w:val="24"/>
          <w:szCs w:val="24"/>
        </w:rPr>
      </w:pPr>
      <w:r w:rsidRPr="0019002E">
        <w:rPr>
          <w:rFonts w:ascii="Calibri" w:hAnsi="Calibri" w:cs="Calibri"/>
          <w:kern w:val="0"/>
          <w:sz w:val="28"/>
          <w:szCs w:val="28"/>
        </w:rPr>
        <w:t>Academic Year 2024-2025</w:t>
      </w:r>
    </w:p>
    <w:p w14:paraId="12BE7E1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0F86298"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3EB2F1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 xml:space="preserve">The Legal Research and Writing Program seeks rising 2Ls to work as LRW Scholars for the upcoming academic year.  FLEX students must have successfully completed twenty-seven credit hours to be eligible to apply.  The position is a two-semester commitment.  Renewal of the Scholarship for the 3L year is not automatic and depends on the Scholar’s outstanding work and demonstrated commitment during the 2L year; in that regard, the Scholarship </w:t>
      </w:r>
      <w:r w:rsidRPr="0019002E">
        <w:rPr>
          <w:rFonts w:ascii="Calibri" w:hAnsi="Calibri" w:cs="Calibri"/>
          <w:b/>
          <w:bCs/>
          <w:kern w:val="0"/>
          <w:sz w:val="24"/>
          <w:szCs w:val="24"/>
        </w:rPr>
        <w:t>takes priority over other activities in which the Scholar chooses to participate</w:t>
      </w:r>
      <w:r w:rsidRPr="0019002E">
        <w:rPr>
          <w:rFonts w:ascii="Calibri" w:hAnsi="Calibri" w:cs="Calibri"/>
          <w:kern w:val="0"/>
          <w:sz w:val="24"/>
          <w:szCs w:val="24"/>
        </w:rPr>
        <w:t xml:space="preserve">, </w:t>
      </w:r>
      <w:r w:rsidRPr="0019002E">
        <w:rPr>
          <w:rFonts w:ascii="Calibri" w:hAnsi="Calibri" w:cs="Calibri"/>
          <w:kern w:val="0"/>
          <w:sz w:val="24"/>
          <w:szCs w:val="24"/>
          <w:u w:val="single"/>
        </w:rPr>
        <w:t>including extra-curricular academic activities such as competitions</w:t>
      </w:r>
      <w:r w:rsidRPr="0019002E">
        <w:rPr>
          <w:rFonts w:ascii="Calibri" w:hAnsi="Calibri" w:cs="Calibri"/>
          <w:kern w:val="0"/>
          <w:sz w:val="24"/>
          <w:szCs w:val="24"/>
        </w:rPr>
        <w:t>.  In addition, an LRW Scholar may not work as a Scholar for another course.  If you have already committed to work as a Scholar for another course, please do not apply to be an LRW Scholar.  If you have questions about these types of conflicts, please ask the LRW Director before applying.</w:t>
      </w:r>
    </w:p>
    <w:p w14:paraId="307994D1"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34ED02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 xml:space="preserve">Scholars assist the LRW faculty in many ways and are integral to the success and smooth functioning of the program.  Scholars typically hold two office hours each week; assist with the administration of the LRW program; attend training sessions led by the Director; work individually with first-year students; and attend and assist with class.  In addition, Scholars assist faculty in preparing course materials, and they provide feedback on some student work.  Scholar obligations will begin with a training on </w:t>
      </w:r>
      <w:r w:rsidRPr="0019002E">
        <w:rPr>
          <w:rFonts w:ascii="Calibri" w:hAnsi="Calibri" w:cs="Calibri"/>
          <w:b/>
          <w:bCs/>
          <w:kern w:val="0"/>
          <w:sz w:val="24"/>
          <w:szCs w:val="24"/>
        </w:rPr>
        <w:t>Friday, August 16th</w:t>
      </w:r>
      <w:r w:rsidRPr="0019002E">
        <w:rPr>
          <w:rFonts w:ascii="Calibri" w:hAnsi="Calibri" w:cs="Calibri"/>
          <w:kern w:val="0"/>
          <w:sz w:val="24"/>
          <w:szCs w:val="24"/>
        </w:rPr>
        <w:t>.  Each LRW Scholar receives a $2200.00 scholarship each semester.</w:t>
      </w:r>
    </w:p>
    <w:p w14:paraId="4193FA7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4FBF3E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In evaluating applications, the Director considers a student’s grades in Legal Research and Writing I and II, overall academic record, leadership qualities, teaching experience, demonstration of sound judgment, outside commitments, and other factors related to an applicant’s ability to work with faculty and students.</w:t>
      </w:r>
    </w:p>
    <w:p w14:paraId="30C8D4D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39AE40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 xml:space="preserve">If you are interested in working as an LRW Scholar during the 2024-25 academic year, please complete this application, and submit it to Professor Susan Thrower by </w:t>
      </w:r>
      <w:r w:rsidRPr="0019002E">
        <w:rPr>
          <w:rFonts w:ascii="Calibri" w:hAnsi="Calibri" w:cs="Calibri"/>
          <w:b/>
          <w:bCs/>
          <w:kern w:val="0"/>
          <w:sz w:val="24"/>
          <w:szCs w:val="24"/>
        </w:rPr>
        <w:t>5:00 p.m. on Monday, June 13th</w:t>
      </w:r>
      <w:r w:rsidRPr="0019002E">
        <w:rPr>
          <w:rFonts w:ascii="Calibri" w:hAnsi="Calibri" w:cs="Calibri"/>
          <w:kern w:val="0"/>
          <w:sz w:val="24"/>
          <w:szCs w:val="24"/>
        </w:rPr>
        <w:t xml:space="preserve">.  Please submit your application electronically to thrower@campbell.edu with the subject line “LRW Scholar Application.”  You can expect to hear about hiring decisions in late July, when the Admissions Office gains a </w:t>
      </w:r>
      <w:proofErr w:type="gramStart"/>
      <w:r w:rsidRPr="0019002E">
        <w:rPr>
          <w:rFonts w:ascii="Calibri" w:hAnsi="Calibri" w:cs="Calibri"/>
          <w:kern w:val="0"/>
          <w:sz w:val="24"/>
          <w:szCs w:val="24"/>
        </w:rPr>
        <w:t>fairly firm</w:t>
      </w:r>
      <w:proofErr w:type="gramEnd"/>
      <w:r w:rsidRPr="0019002E">
        <w:rPr>
          <w:rFonts w:ascii="Calibri" w:hAnsi="Calibri" w:cs="Calibri"/>
          <w:kern w:val="0"/>
          <w:sz w:val="24"/>
          <w:szCs w:val="24"/>
        </w:rPr>
        <w:t xml:space="preserve"> idea of the size of the incoming class.</w:t>
      </w:r>
    </w:p>
    <w:p w14:paraId="082992F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DF6F13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Thank you, and have a good summer!</w:t>
      </w:r>
    </w:p>
    <w:p w14:paraId="459046E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AFE200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121EB6C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F55F5A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FBD3AC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Times New Roman" w:hAnsi="Times New Roman" w:cs="Times New Roman"/>
          <w:kern w:val="0"/>
          <w:sz w:val="24"/>
          <w:szCs w:val="24"/>
        </w:rPr>
        <w:br w:type="page"/>
      </w:r>
      <w:r w:rsidRPr="0019002E">
        <w:rPr>
          <w:rFonts w:ascii="Calibri" w:hAnsi="Calibri" w:cs="Calibri"/>
          <w:kern w:val="0"/>
          <w:sz w:val="24"/>
          <w:szCs w:val="24"/>
        </w:rPr>
        <w:lastRenderedPageBreak/>
        <w:t>Please answer the questions, and attach a copy of your resume or any other relevant materials.</w:t>
      </w:r>
    </w:p>
    <w:p w14:paraId="798549A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9673F39"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8F11FFC"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Contact Information</w:t>
      </w:r>
    </w:p>
    <w:p w14:paraId="3564DBD1"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7951AF86"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1.  Name, e-mail address, and telephone number:</w:t>
      </w:r>
    </w:p>
    <w:p w14:paraId="4DC79646"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7CDCD929"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 If you receive an offer to work as an LRW Scholar, you will have seventy-two hours in which to accept or decline the offer.  Please be sure to supply the best contact information to ensure that you do not miss the offer. **</w:t>
      </w:r>
    </w:p>
    <w:p w14:paraId="3F84030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6747384"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7C80583B"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Academic and Law School Experience</w:t>
      </w:r>
    </w:p>
    <w:p w14:paraId="62C5C1F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7B0497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2.  What was your</w:t>
      </w:r>
    </w:p>
    <w:p w14:paraId="210082A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BA006C6"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(a)  Fall final Memo grade?</w:t>
      </w:r>
    </w:p>
    <w:p w14:paraId="35309AD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4B0294E"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(b)  Spring Trial Brief grade?</w:t>
      </w:r>
    </w:p>
    <w:p w14:paraId="152D65F6"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9AD52EE"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(c)  Class rank after Fall semester:</w:t>
      </w:r>
    </w:p>
    <w:p w14:paraId="59532FA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7580689"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ab/>
        <w:t>(d)  Overall class rank after Spring semester:</w:t>
      </w:r>
    </w:p>
    <w:p w14:paraId="36FFB30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A84C82D"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 xml:space="preserve">(e)  Undergraduate degree and institution and the information for any additional </w:t>
      </w:r>
      <w:proofErr w:type="gramStart"/>
      <w:r w:rsidRPr="0019002E">
        <w:rPr>
          <w:rFonts w:ascii="Calibri" w:hAnsi="Calibri" w:cs="Calibri"/>
          <w:kern w:val="0"/>
          <w:sz w:val="24"/>
          <w:szCs w:val="24"/>
        </w:rPr>
        <w:t>degrees, if</w:t>
      </w:r>
      <w:proofErr w:type="gramEnd"/>
      <w:r w:rsidRPr="0019002E">
        <w:rPr>
          <w:rFonts w:ascii="Calibri" w:hAnsi="Calibri" w:cs="Calibri"/>
          <w:kern w:val="0"/>
          <w:sz w:val="24"/>
          <w:szCs w:val="24"/>
        </w:rPr>
        <w:t xml:space="preserve"> you wish:</w:t>
      </w:r>
    </w:p>
    <w:p w14:paraId="230020A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6F1198E"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7A6E3E97" w14:textId="315DFA52"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3.  Name one Campbell Law faculty member, other than your LRW professor, who can serve as a reference for your academic performance as a 1L.  You do not have to submit letters of reference, but expect the faculty member to receive a reference call about you.</w:t>
      </w:r>
    </w:p>
    <w:p w14:paraId="7264172C"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4D9D79E"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43179C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Leadership/Teaching Experience</w:t>
      </w:r>
    </w:p>
    <w:p w14:paraId="691995A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158F9AD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4.  Describe any prior leadership or teaching experience and the names of the relevant organizations.  Include experience involving tutoring or leading small group discussions in academic or other settings (</w:t>
      </w:r>
      <w:r w:rsidRPr="0019002E">
        <w:rPr>
          <w:rFonts w:ascii="Calibri" w:hAnsi="Calibri" w:cs="Calibri"/>
          <w:i/>
          <w:iCs/>
          <w:kern w:val="0"/>
          <w:sz w:val="24"/>
          <w:szCs w:val="24"/>
        </w:rPr>
        <w:t>e.g.</w:t>
      </w:r>
      <w:r w:rsidRPr="0019002E">
        <w:rPr>
          <w:rFonts w:ascii="Calibri" w:hAnsi="Calibri" w:cs="Calibri"/>
          <w:kern w:val="0"/>
          <w:sz w:val="24"/>
          <w:szCs w:val="24"/>
        </w:rPr>
        <w:t>, lab sessions or Sunday School) and any management experience in which you have directed a group.</w:t>
      </w:r>
    </w:p>
    <w:p w14:paraId="4132E14C"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7FA023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D34D20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5.  Are you comfortable working with fellow students individually?  Describe a situation in your first year of law school in which you worked or studied with a classmate and the results of that collaboration.  What worked to produce good outcomes, and what did not?</w:t>
      </w:r>
    </w:p>
    <w:p w14:paraId="5E691CCB"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lastRenderedPageBreak/>
        <w:t>6.  Many 1Ls find LRW frustrating, and they are sometimes not at their best when they are working with their Scholars.  Describe a situation in which you had to interact with a fellow student or other peer or a person you were directing (</w:t>
      </w:r>
      <w:r w:rsidRPr="0019002E">
        <w:rPr>
          <w:rFonts w:ascii="Calibri" w:hAnsi="Calibri" w:cs="Calibri"/>
          <w:i/>
          <w:iCs/>
          <w:kern w:val="0"/>
          <w:sz w:val="24"/>
          <w:szCs w:val="24"/>
        </w:rPr>
        <w:t>e.g.</w:t>
      </w:r>
      <w:r w:rsidRPr="0019002E">
        <w:rPr>
          <w:rFonts w:ascii="Calibri" w:hAnsi="Calibri" w:cs="Calibri"/>
          <w:kern w:val="0"/>
          <w:sz w:val="24"/>
          <w:szCs w:val="24"/>
        </w:rPr>
        <w:t>, a camper, a member of a team you were coaching, etc.) who was very upset, and explain how you defused or otherwise handled the situation.</w:t>
      </w:r>
    </w:p>
    <w:p w14:paraId="01828CF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86589F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A6A73BE"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Problem-Solving</w:t>
      </w:r>
    </w:p>
    <w:p w14:paraId="20E7090B"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A52B20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7.  Respond to these hypotheticals:</w:t>
      </w:r>
    </w:p>
    <w:p w14:paraId="318497E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6C34457"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(a)  You are a member of one of the law school’s competition teams/student organizations/similar.  The advisor to this team/organization–a busy, practicing lawyer in town–emails you to announce a practice/meeting to take place at the same time you have a standing LRW Scholars meeting.  You do not want to say “no” to the advisor because he is busy and likely does not have a lot of free time, and his message did not invite you to explain any prior commitments you may have.  How do you handle this conflict?</w:t>
      </w:r>
    </w:p>
    <w:p w14:paraId="4C21A0E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125F1CB"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7B9BD9A"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(b)  LRW Scholar training will take place on the Friday before Fall classes begin.  Your Summer employer wants you to work all the way through the final weekend before your classes begin, which would conflict with your attendance at Scholar training.  You don’t want to disappoint your employer, but you know that you will lose your LRW Scholarship if you miss training.  How do you resolve this conflict?</w:t>
      </w:r>
    </w:p>
    <w:p w14:paraId="5BABBA60"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619D14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77DCFC2"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(c)  Does the answer you provided in (b) change in any way with this shift in the hypothetical?  If so, how?</w:t>
      </w:r>
    </w:p>
    <w:p w14:paraId="009805D8"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324E411"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The second round of OCI interviews takes place in early August, and a prominent firm in Raleigh holds a sort of group callback on the Friday before Campbell classes start.  Candidates who receive callbacks must go to the firm office on that Friday afternoon for a reception; they then spend the rest of the day with some of the partners.  You receive an invitation from this firm for a callback.  It conflicts with Scholars training.  You cannot be in two places at once.  How do you handle the conflict?</w:t>
      </w:r>
    </w:p>
    <w:p w14:paraId="194E4DA6"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C05A6B4"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FD93995" w14:textId="77777777" w:rsidR="0019002E" w:rsidRPr="0019002E" w:rsidRDefault="0019002E" w:rsidP="0019002E">
      <w:pPr>
        <w:autoSpaceDE w:val="0"/>
        <w:autoSpaceDN w:val="0"/>
        <w:adjustRightInd w:val="0"/>
        <w:spacing w:after="0" w:line="240" w:lineRule="auto"/>
        <w:ind w:left="720"/>
        <w:rPr>
          <w:rFonts w:ascii="Calibri" w:hAnsi="Calibri" w:cs="Calibri"/>
          <w:kern w:val="0"/>
          <w:sz w:val="24"/>
          <w:szCs w:val="24"/>
        </w:rPr>
      </w:pPr>
      <w:r w:rsidRPr="0019002E">
        <w:rPr>
          <w:rFonts w:ascii="Calibri" w:hAnsi="Calibri" w:cs="Calibri"/>
          <w:kern w:val="0"/>
          <w:sz w:val="24"/>
          <w:szCs w:val="24"/>
        </w:rPr>
        <w:t>(d)  After you receive your LRW professor match and your LRW day/time class assignment–Fridays at 10:00–you receive an invitation from a family member to shadow her at the office and in court on six Fridays during the semester.  You really want this shadowing experience, but you also know that attending LRW class is mandatory.  What do you do?</w:t>
      </w:r>
    </w:p>
    <w:p w14:paraId="3B82DC1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641A1A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lastRenderedPageBreak/>
        <w:t>Perspectives</w:t>
      </w:r>
    </w:p>
    <w:p w14:paraId="3EE3CBA7"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40897C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8.  Working as an LRW Scholar can be enjoyable, but it is work, and it is sometimes not fun.   Why do you want to be a Scholar?</w:t>
      </w:r>
    </w:p>
    <w:p w14:paraId="18B3FD39"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C06293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367A442"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9.  What advice would you–as a Scholar–give to a student who is struggling in LRW?</w:t>
      </w:r>
    </w:p>
    <w:p w14:paraId="5A152ED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79B22CF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374EC08"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10.  What was your favorite part of LRW?  Why?  What aspect of LRW did you find most challenging?</w:t>
      </w:r>
    </w:p>
    <w:p w14:paraId="778FCE23"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2E40FB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623CF61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Availability</w:t>
      </w:r>
    </w:p>
    <w:p w14:paraId="57BAADAC"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FA571FB"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 xml:space="preserve">11.  Are you available to begin work as an LRW Scholar beginning </w:t>
      </w:r>
      <w:r w:rsidRPr="0019002E">
        <w:rPr>
          <w:rFonts w:ascii="Calibri" w:hAnsi="Calibri" w:cs="Calibri"/>
          <w:b/>
          <w:bCs/>
          <w:kern w:val="0"/>
          <w:sz w:val="24"/>
          <w:szCs w:val="24"/>
        </w:rPr>
        <w:t>Friday, August 16th</w:t>
      </w:r>
      <w:r w:rsidRPr="0019002E">
        <w:rPr>
          <w:rFonts w:ascii="Calibri" w:hAnsi="Calibri" w:cs="Calibri"/>
          <w:kern w:val="0"/>
          <w:sz w:val="24"/>
          <w:szCs w:val="24"/>
        </w:rPr>
        <w:t>?</w:t>
      </w:r>
    </w:p>
    <w:p w14:paraId="7912837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64B8CC1"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B63BE6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12.  An LRW Scholar may not also work as a Scholar for another course.  If you are considering working as a Scholar for another course, please provide the course and professor names:</w:t>
      </w:r>
    </w:p>
    <w:p w14:paraId="2C8D2E2C"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F3107E8"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709126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13.  Provide your Fall 2024 course schedule:</w:t>
      </w:r>
    </w:p>
    <w:p w14:paraId="1214631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332B6458"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Course name</w:t>
      </w:r>
      <w:r w:rsidRPr="0019002E">
        <w:rPr>
          <w:rFonts w:ascii="Calibri" w:hAnsi="Calibri" w:cs="Calibri"/>
          <w:kern w:val="0"/>
          <w:sz w:val="24"/>
          <w:szCs w:val="24"/>
        </w:rPr>
        <w:tab/>
      </w:r>
      <w:r w:rsidRPr="0019002E">
        <w:rPr>
          <w:rFonts w:ascii="Calibri" w:hAnsi="Calibri" w:cs="Calibri"/>
          <w:kern w:val="0"/>
          <w:sz w:val="24"/>
          <w:szCs w:val="24"/>
        </w:rPr>
        <w:tab/>
      </w:r>
      <w:r w:rsidRPr="0019002E">
        <w:rPr>
          <w:rFonts w:ascii="Calibri" w:hAnsi="Calibri" w:cs="Calibri"/>
          <w:kern w:val="0"/>
          <w:sz w:val="24"/>
          <w:szCs w:val="24"/>
        </w:rPr>
        <w:tab/>
      </w:r>
      <w:r w:rsidRPr="0019002E">
        <w:rPr>
          <w:rFonts w:ascii="Calibri" w:hAnsi="Calibri" w:cs="Calibri"/>
          <w:kern w:val="0"/>
          <w:sz w:val="24"/>
          <w:szCs w:val="24"/>
          <w:u w:val="single"/>
        </w:rPr>
        <w:t>Day</w:t>
      </w:r>
      <w:r w:rsidRPr="0019002E">
        <w:rPr>
          <w:rFonts w:ascii="Calibri" w:hAnsi="Calibri" w:cs="Calibri"/>
          <w:kern w:val="0"/>
          <w:sz w:val="24"/>
          <w:szCs w:val="24"/>
        </w:rPr>
        <w:tab/>
      </w:r>
      <w:r w:rsidRPr="0019002E">
        <w:rPr>
          <w:rFonts w:ascii="Calibri" w:hAnsi="Calibri" w:cs="Calibri"/>
          <w:kern w:val="0"/>
          <w:sz w:val="24"/>
          <w:szCs w:val="24"/>
        </w:rPr>
        <w:tab/>
      </w:r>
      <w:r w:rsidRPr="0019002E">
        <w:rPr>
          <w:rFonts w:ascii="Calibri" w:hAnsi="Calibri" w:cs="Calibri"/>
          <w:kern w:val="0"/>
          <w:sz w:val="24"/>
          <w:szCs w:val="24"/>
          <w:u w:val="single"/>
        </w:rPr>
        <w:t>Hours</w:t>
      </w:r>
      <w:r w:rsidRPr="0019002E">
        <w:rPr>
          <w:rFonts w:ascii="Calibri" w:hAnsi="Calibri" w:cs="Calibri"/>
          <w:kern w:val="0"/>
          <w:sz w:val="24"/>
          <w:szCs w:val="24"/>
        </w:rPr>
        <w:tab/>
      </w:r>
      <w:r w:rsidRPr="0019002E">
        <w:rPr>
          <w:rFonts w:ascii="Calibri" w:hAnsi="Calibri" w:cs="Calibri"/>
          <w:kern w:val="0"/>
          <w:sz w:val="24"/>
          <w:szCs w:val="24"/>
        </w:rPr>
        <w:tab/>
      </w:r>
      <w:r w:rsidRPr="0019002E">
        <w:rPr>
          <w:rFonts w:ascii="Calibri" w:hAnsi="Calibri" w:cs="Calibri"/>
          <w:kern w:val="0"/>
          <w:sz w:val="24"/>
          <w:szCs w:val="24"/>
          <w:u w:val="single"/>
        </w:rPr>
        <w:t>Professor</w:t>
      </w:r>
    </w:p>
    <w:p w14:paraId="22B553C5"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215B7134"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4C129A0D"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rPr>
        <w:t>14.  List all activities beyond classes that you have planned for AY24-25, as well as the days and times on which those activities occur.  Include law school organizations, activities, and competition teams; paid or unpaid employment of any sort; and all recurring commitments (</w:t>
      </w:r>
      <w:r w:rsidRPr="0019002E">
        <w:rPr>
          <w:rFonts w:ascii="Calibri" w:hAnsi="Calibri" w:cs="Calibri"/>
          <w:i/>
          <w:iCs/>
          <w:kern w:val="0"/>
          <w:sz w:val="24"/>
          <w:szCs w:val="24"/>
        </w:rPr>
        <w:t>e.g.</w:t>
      </w:r>
      <w:r w:rsidRPr="0019002E">
        <w:rPr>
          <w:rFonts w:ascii="Calibri" w:hAnsi="Calibri" w:cs="Calibri"/>
          <w:kern w:val="0"/>
          <w:sz w:val="24"/>
          <w:szCs w:val="24"/>
        </w:rPr>
        <w:t>, volunteer activities, music lessons, intramural sports teams, etc.):</w:t>
      </w:r>
    </w:p>
    <w:p w14:paraId="00ACCD7A"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00537241"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1C52CC2F"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r w:rsidRPr="0019002E">
        <w:rPr>
          <w:rFonts w:ascii="Calibri" w:hAnsi="Calibri" w:cs="Calibri"/>
          <w:kern w:val="0"/>
          <w:sz w:val="24"/>
          <w:szCs w:val="24"/>
          <w:u w:val="single"/>
        </w:rPr>
        <w:t>Final notes</w:t>
      </w:r>
    </w:p>
    <w:p w14:paraId="2F6FD844" w14:textId="77777777" w:rsidR="0019002E" w:rsidRPr="0019002E" w:rsidRDefault="0019002E" w:rsidP="0019002E">
      <w:pPr>
        <w:autoSpaceDE w:val="0"/>
        <w:autoSpaceDN w:val="0"/>
        <w:adjustRightInd w:val="0"/>
        <w:spacing w:after="0" w:line="240" w:lineRule="auto"/>
        <w:rPr>
          <w:rFonts w:ascii="Calibri" w:hAnsi="Calibri" w:cs="Calibri"/>
          <w:kern w:val="0"/>
          <w:sz w:val="24"/>
          <w:szCs w:val="24"/>
        </w:rPr>
      </w:pPr>
    </w:p>
    <w:p w14:paraId="55CAA8C9" w14:textId="70C864B8" w:rsidR="00A10887" w:rsidRDefault="0019002E" w:rsidP="0019002E">
      <w:r w:rsidRPr="0019002E">
        <w:rPr>
          <w:rFonts w:ascii="Calibri" w:hAnsi="Calibri" w:cs="Calibri"/>
          <w:kern w:val="0"/>
          <w:sz w:val="24"/>
          <w:szCs w:val="24"/>
        </w:rPr>
        <w:t>15.  Share any additional information you would like the LRW Director to consider in evaluating your application.</w:t>
      </w:r>
    </w:p>
    <w:sectPr w:rsidR="00A10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2E"/>
    <w:rsid w:val="0019002E"/>
    <w:rsid w:val="00512E7A"/>
    <w:rsid w:val="00A1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57A7"/>
  <w15:chartTrackingRefBased/>
  <w15:docId w15:val="{BDB4C610-6136-4DD7-B74B-B735DCB5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2E"/>
    <w:rPr>
      <w:rFonts w:eastAsiaTheme="majorEastAsia" w:cstheme="majorBidi"/>
      <w:color w:val="272727" w:themeColor="text1" w:themeTint="D8"/>
    </w:rPr>
  </w:style>
  <w:style w:type="paragraph" w:styleId="Title">
    <w:name w:val="Title"/>
    <w:basedOn w:val="Normal"/>
    <w:next w:val="Normal"/>
    <w:link w:val="TitleChar"/>
    <w:uiPriority w:val="10"/>
    <w:qFormat/>
    <w:rsid w:val="00190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2E"/>
    <w:pPr>
      <w:spacing w:before="160"/>
      <w:jc w:val="center"/>
    </w:pPr>
    <w:rPr>
      <w:i/>
      <w:iCs/>
      <w:color w:val="404040" w:themeColor="text1" w:themeTint="BF"/>
    </w:rPr>
  </w:style>
  <w:style w:type="character" w:customStyle="1" w:styleId="QuoteChar">
    <w:name w:val="Quote Char"/>
    <w:basedOn w:val="DefaultParagraphFont"/>
    <w:link w:val="Quote"/>
    <w:uiPriority w:val="29"/>
    <w:rsid w:val="0019002E"/>
    <w:rPr>
      <w:i/>
      <w:iCs/>
      <w:color w:val="404040" w:themeColor="text1" w:themeTint="BF"/>
    </w:rPr>
  </w:style>
  <w:style w:type="paragraph" w:styleId="ListParagraph">
    <w:name w:val="List Paragraph"/>
    <w:basedOn w:val="Normal"/>
    <w:uiPriority w:val="34"/>
    <w:qFormat/>
    <w:rsid w:val="0019002E"/>
    <w:pPr>
      <w:ind w:left="720"/>
      <w:contextualSpacing/>
    </w:pPr>
  </w:style>
  <w:style w:type="character" w:styleId="IntenseEmphasis">
    <w:name w:val="Intense Emphasis"/>
    <w:basedOn w:val="DefaultParagraphFont"/>
    <w:uiPriority w:val="21"/>
    <w:qFormat/>
    <w:rsid w:val="0019002E"/>
    <w:rPr>
      <w:i/>
      <w:iCs/>
      <w:color w:val="0F4761" w:themeColor="accent1" w:themeShade="BF"/>
    </w:rPr>
  </w:style>
  <w:style w:type="paragraph" w:styleId="IntenseQuote">
    <w:name w:val="Intense Quote"/>
    <w:basedOn w:val="Normal"/>
    <w:next w:val="Normal"/>
    <w:link w:val="IntenseQuoteChar"/>
    <w:uiPriority w:val="30"/>
    <w:qFormat/>
    <w:rsid w:val="00190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2E"/>
    <w:rPr>
      <w:i/>
      <w:iCs/>
      <w:color w:val="0F4761" w:themeColor="accent1" w:themeShade="BF"/>
    </w:rPr>
  </w:style>
  <w:style w:type="character" w:styleId="IntenseReference">
    <w:name w:val="Intense Reference"/>
    <w:basedOn w:val="DefaultParagraphFont"/>
    <w:uiPriority w:val="32"/>
    <w:qFormat/>
    <w:rsid w:val="00190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Thrower</dc:creator>
  <cp:keywords/>
  <dc:description/>
  <cp:lastModifiedBy>Susan Thrower</cp:lastModifiedBy>
  <cp:revision>2</cp:revision>
  <dcterms:created xsi:type="dcterms:W3CDTF">2024-05-23T18:46:00Z</dcterms:created>
  <dcterms:modified xsi:type="dcterms:W3CDTF">2024-05-23T18:46:00Z</dcterms:modified>
</cp:coreProperties>
</file>