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D630F" w14:textId="08931806" w:rsidR="00947E82" w:rsidRPr="00A3795E" w:rsidRDefault="00947E82" w:rsidP="006B410E">
      <w:pPr>
        <w:spacing w:after="0" w:line="240" w:lineRule="auto"/>
        <w:jc w:val="center"/>
        <w:rPr>
          <w:b/>
          <w:bCs/>
          <w:sz w:val="32"/>
          <w:szCs w:val="32"/>
        </w:rPr>
      </w:pPr>
      <w:r w:rsidRPr="00A3795E">
        <w:rPr>
          <w:b/>
          <w:bCs/>
          <w:sz w:val="32"/>
          <w:szCs w:val="32"/>
        </w:rPr>
        <w:t>DPT 788-Clinical Reasoning 3</w:t>
      </w:r>
    </w:p>
    <w:p w14:paraId="40B9CF11" w14:textId="3E4DAB9D" w:rsidR="00947E82" w:rsidRDefault="00947E82" w:rsidP="00803D74">
      <w:pPr>
        <w:jc w:val="center"/>
        <w:rPr>
          <w:b/>
          <w:bCs/>
          <w:sz w:val="32"/>
          <w:szCs w:val="32"/>
        </w:rPr>
      </w:pPr>
      <w:r w:rsidRPr="00A3795E">
        <w:rPr>
          <w:b/>
          <w:bCs/>
          <w:sz w:val="32"/>
          <w:szCs w:val="32"/>
        </w:rPr>
        <w:t>Group Project</w:t>
      </w:r>
    </w:p>
    <w:p w14:paraId="5E61883F" w14:textId="1D75AA07" w:rsidR="00947E82" w:rsidRDefault="00947E82" w:rsidP="00803D74">
      <w:pPr>
        <w:jc w:val="center"/>
        <w:rPr>
          <w:b/>
          <w:bCs/>
          <w:sz w:val="32"/>
          <w:szCs w:val="32"/>
        </w:rPr>
      </w:pPr>
      <w:r>
        <w:rPr>
          <w:b/>
          <w:bCs/>
          <w:sz w:val="32"/>
          <w:szCs w:val="32"/>
        </w:rPr>
        <w:t>Poster Walk Presentations</w:t>
      </w:r>
    </w:p>
    <w:p w14:paraId="5B765530" w14:textId="1CBCADB7" w:rsidR="00CE5904" w:rsidRPr="00CE5904" w:rsidRDefault="005B3DF1" w:rsidP="00CE5904">
      <w:pPr>
        <w:rPr>
          <w:sz w:val="24"/>
          <w:szCs w:val="24"/>
        </w:rPr>
      </w:pPr>
      <w:r w:rsidRPr="00376C1A">
        <w:rPr>
          <w:b/>
          <w:bCs/>
          <w:sz w:val="24"/>
          <w:szCs w:val="24"/>
        </w:rPr>
        <w:t xml:space="preserve">Description of </w:t>
      </w:r>
      <w:r>
        <w:rPr>
          <w:b/>
          <w:bCs/>
          <w:sz w:val="24"/>
          <w:szCs w:val="24"/>
        </w:rPr>
        <w:t xml:space="preserve">Poster-walk </w:t>
      </w:r>
      <w:r w:rsidRPr="00376C1A">
        <w:rPr>
          <w:b/>
          <w:bCs/>
          <w:sz w:val="24"/>
          <w:szCs w:val="24"/>
        </w:rPr>
        <w:t>Event:</w:t>
      </w:r>
      <w:r>
        <w:rPr>
          <w:b/>
          <w:bCs/>
          <w:sz w:val="24"/>
          <w:szCs w:val="24"/>
        </w:rPr>
        <w:t xml:space="preserve"> </w:t>
      </w:r>
      <w:r w:rsidRPr="00982459">
        <w:rPr>
          <w:sz w:val="24"/>
          <w:szCs w:val="24"/>
        </w:rPr>
        <w:t>This will be a live event.</w:t>
      </w:r>
      <w:r>
        <w:rPr>
          <w:b/>
          <w:bCs/>
          <w:sz w:val="24"/>
          <w:szCs w:val="24"/>
        </w:rPr>
        <w:t xml:space="preserve"> </w:t>
      </w:r>
      <w:r>
        <w:rPr>
          <w:sz w:val="24"/>
          <w:szCs w:val="24"/>
        </w:rPr>
        <w:t xml:space="preserve">Student groups will stand by their poster (which will be displayed digitally on a screen) while poster walk participants circulate. Students are expected to present a summary of their poster (approximately 5 minutes), allow time for their audience to study the poster contents, and then answer questions posed by the audience. Each student in the group should be prepared to both present the summary and/or answer questions throughout the poster walk as new audience members arrive. </w:t>
      </w:r>
      <w:r w:rsidR="00CE5904">
        <w:rPr>
          <w:sz w:val="24"/>
          <w:szCs w:val="24"/>
        </w:rPr>
        <w:br w:type="page"/>
      </w:r>
    </w:p>
    <w:tbl>
      <w:tblPr>
        <w:tblStyle w:val="TableGrid"/>
        <w:tblW w:w="0" w:type="auto"/>
        <w:tblLook w:val="04A0" w:firstRow="1" w:lastRow="0" w:firstColumn="1" w:lastColumn="0" w:noHBand="0" w:noVBand="1"/>
      </w:tblPr>
      <w:tblGrid>
        <w:gridCol w:w="4855"/>
        <w:gridCol w:w="1080"/>
        <w:gridCol w:w="2970"/>
      </w:tblGrid>
      <w:tr w:rsidR="009166EB" w14:paraId="473CE257" w14:textId="7352649D" w:rsidTr="009166EB">
        <w:tc>
          <w:tcPr>
            <w:tcW w:w="4855" w:type="dxa"/>
          </w:tcPr>
          <w:p w14:paraId="3AC2FEA7" w14:textId="4B4F0D99" w:rsidR="009166EB" w:rsidRPr="00947E82" w:rsidRDefault="009166EB" w:rsidP="00947E82">
            <w:pPr>
              <w:rPr>
                <w:b/>
                <w:bCs/>
              </w:rPr>
            </w:pPr>
            <w:r w:rsidRPr="00947E82">
              <w:rPr>
                <w:b/>
                <w:bCs/>
              </w:rPr>
              <w:lastRenderedPageBreak/>
              <w:t>PICO Question</w:t>
            </w:r>
          </w:p>
        </w:tc>
        <w:tc>
          <w:tcPr>
            <w:tcW w:w="1080" w:type="dxa"/>
          </w:tcPr>
          <w:p w14:paraId="65B02DC6" w14:textId="0144C1E3" w:rsidR="009166EB" w:rsidRPr="00947E82" w:rsidRDefault="009166EB" w:rsidP="00947E82">
            <w:pPr>
              <w:rPr>
                <w:b/>
                <w:bCs/>
              </w:rPr>
            </w:pPr>
            <w:r w:rsidRPr="00947E82">
              <w:rPr>
                <w:b/>
                <w:bCs/>
              </w:rPr>
              <w:t>Location</w:t>
            </w:r>
          </w:p>
        </w:tc>
        <w:tc>
          <w:tcPr>
            <w:tcW w:w="2970" w:type="dxa"/>
          </w:tcPr>
          <w:p w14:paraId="32D8EE5B" w14:textId="7B6C970B" w:rsidR="009166EB" w:rsidRPr="00947E82" w:rsidRDefault="009166EB" w:rsidP="00947E82">
            <w:pPr>
              <w:rPr>
                <w:b/>
                <w:bCs/>
              </w:rPr>
            </w:pPr>
            <w:r w:rsidRPr="00947E82">
              <w:rPr>
                <w:b/>
                <w:bCs/>
              </w:rPr>
              <w:t>Group Members</w:t>
            </w:r>
          </w:p>
        </w:tc>
      </w:tr>
      <w:tr w:rsidR="009166EB" w14:paraId="75B739EC" w14:textId="5D8AD4AF" w:rsidTr="009166EB">
        <w:tc>
          <w:tcPr>
            <w:tcW w:w="4855" w:type="dxa"/>
          </w:tcPr>
          <w:p w14:paraId="05C3EFD0" w14:textId="4B184D25" w:rsidR="009166EB" w:rsidRPr="003E0616" w:rsidRDefault="009166EB" w:rsidP="00947E82">
            <w:pPr>
              <w:rPr>
                <w:rFonts w:cstheme="minorHAnsi"/>
              </w:rPr>
            </w:pPr>
            <w:r>
              <w:rPr>
                <w:rFonts w:eastAsia="Times New Roman"/>
              </w:rPr>
              <w:t>Does slackline training improve athletic performance in youth athletes?</w:t>
            </w:r>
          </w:p>
        </w:tc>
        <w:tc>
          <w:tcPr>
            <w:tcW w:w="1080" w:type="dxa"/>
          </w:tcPr>
          <w:p w14:paraId="48D3A79F" w14:textId="7A9C6E94" w:rsidR="009166EB" w:rsidRPr="003E0616" w:rsidRDefault="009166EB" w:rsidP="00947E82">
            <w:pPr>
              <w:rPr>
                <w:rFonts w:cstheme="minorHAnsi"/>
              </w:rPr>
            </w:pPr>
            <w:r w:rsidRPr="003E0616">
              <w:rPr>
                <w:rFonts w:cstheme="minorHAnsi"/>
              </w:rPr>
              <w:t>315</w:t>
            </w:r>
          </w:p>
        </w:tc>
        <w:tc>
          <w:tcPr>
            <w:tcW w:w="2970" w:type="dxa"/>
          </w:tcPr>
          <w:p w14:paraId="7AD26D47" w14:textId="46AB00A6" w:rsidR="009166EB" w:rsidRPr="003E0616" w:rsidRDefault="009166EB" w:rsidP="00947E82">
            <w:pPr>
              <w:rPr>
                <w:rFonts w:cstheme="minorHAnsi"/>
              </w:rPr>
            </w:pPr>
            <w:r w:rsidRPr="003E0616">
              <w:rPr>
                <w:rFonts w:cstheme="minorHAnsi"/>
              </w:rPr>
              <w:t>Lyndsey Owens,</w:t>
            </w:r>
            <w:r>
              <w:rPr>
                <w:rFonts w:cstheme="minorHAnsi"/>
              </w:rPr>
              <w:t xml:space="preserve"> Jordan Garner, Haley Green</w:t>
            </w:r>
          </w:p>
        </w:tc>
      </w:tr>
      <w:tr w:rsidR="009166EB" w14:paraId="60F4400C" w14:textId="633A5CF1" w:rsidTr="009166EB">
        <w:trPr>
          <w:trHeight w:val="1133"/>
        </w:trPr>
        <w:tc>
          <w:tcPr>
            <w:tcW w:w="4855" w:type="dxa"/>
          </w:tcPr>
          <w:p w14:paraId="1135F9C4" w14:textId="6CE2D047" w:rsidR="009166EB" w:rsidRPr="003E0616" w:rsidRDefault="009166EB" w:rsidP="00947E82">
            <w:pPr>
              <w:rPr>
                <w:rFonts w:cstheme="minorHAnsi"/>
              </w:rPr>
            </w:pPr>
            <w:r w:rsidRPr="003E0616">
              <w:rPr>
                <w:rFonts w:cstheme="minorHAnsi"/>
              </w:rPr>
              <w:t xml:space="preserve">Is proprioceptive training beneficial in reducing the recurrence of ankle sprains leading to chronic ankle instability compared to traditional strength training in athletes </w:t>
            </w:r>
            <w:proofErr w:type="gramStart"/>
            <w:r w:rsidRPr="003E0616">
              <w:rPr>
                <w:rFonts w:cstheme="minorHAnsi"/>
              </w:rPr>
              <w:t>age</w:t>
            </w:r>
            <w:proofErr w:type="gramEnd"/>
            <w:r w:rsidRPr="003E0616">
              <w:rPr>
                <w:rFonts w:cstheme="minorHAnsi"/>
              </w:rPr>
              <w:t xml:space="preserve"> 20-29 years old?</w:t>
            </w:r>
          </w:p>
        </w:tc>
        <w:tc>
          <w:tcPr>
            <w:tcW w:w="1080" w:type="dxa"/>
          </w:tcPr>
          <w:p w14:paraId="5EBB7E63" w14:textId="5D563A7F" w:rsidR="009166EB" w:rsidRPr="003E0616" w:rsidRDefault="009166EB" w:rsidP="00947E82">
            <w:pPr>
              <w:rPr>
                <w:rFonts w:cstheme="minorHAnsi"/>
              </w:rPr>
            </w:pPr>
            <w:r>
              <w:rPr>
                <w:rFonts w:cstheme="minorHAnsi"/>
              </w:rPr>
              <w:t>311</w:t>
            </w:r>
          </w:p>
        </w:tc>
        <w:tc>
          <w:tcPr>
            <w:tcW w:w="2970" w:type="dxa"/>
          </w:tcPr>
          <w:p w14:paraId="59EC7FEB" w14:textId="4EA175D6" w:rsidR="009166EB" w:rsidRPr="003E0616" w:rsidRDefault="009166EB" w:rsidP="00947E82">
            <w:pPr>
              <w:rPr>
                <w:rFonts w:cstheme="minorHAnsi"/>
              </w:rPr>
            </w:pPr>
            <w:r w:rsidRPr="003E0616">
              <w:rPr>
                <w:rFonts w:cstheme="minorHAnsi"/>
              </w:rPr>
              <w:t>Liisa Mosher-Hale, John Cosmiano, Arturo Camejo</w:t>
            </w:r>
          </w:p>
        </w:tc>
      </w:tr>
      <w:tr w:rsidR="009166EB" w14:paraId="51B99516" w14:textId="6824AD42" w:rsidTr="009166EB">
        <w:tc>
          <w:tcPr>
            <w:tcW w:w="4855" w:type="dxa"/>
          </w:tcPr>
          <w:p w14:paraId="1549F8DC" w14:textId="0627FFF3" w:rsidR="009166EB" w:rsidRPr="003E0616" w:rsidRDefault="009166EB" w:rsidP="00C550EA">
            <w:pPr>
              <w:pStyle w:val="NormalWeb"/>
              <w:spacing w:before="0" w:beforeAutospacing="0" w:after="0" w:afterAutospacing="0" w:line="276" w:lineRule="auto"/>
              <w:rPr>
                <w:rFonts w:asciiTheme="minorHAnsi" w:hAnsiTheme="minorHAnsi" w:cstheme="minorHAnsi"/>
              </w:rPr>
            </w:pPr>
            <w:r w:rsidRPr="003E0616">
              <w:rPr>
                <w:rFonts w:asciiTheme="minorHAnsi" w:hAnsiTheme="minorHAnsi" w:cstheme="minorHAnsi"/>
              </w:rPr>
              <w:t>In rehabilitation of 50+ year old individuals at least 6 months post intracerebral hemorrhage, does pelvis resisted gait (PRG) increase step length of the affected limb greater than BWSTT?</w:t>
            </w:r>
          </w:p>
        </w:tc>
        <w:tc>
          <w:tcPr>
            <w:tcW w:w="1080" w:type="dxa"/>
          </w:tcPr>
          <w:p w14:paraId="51DCC3FF" w14:textId="75A07AEB" w:rsidR="009166EB" w:rsidRPr="003E0616" w:rsidRDefault="009166EB" w:rsidP="00947E82">
            <w:pPr>
              <w:rPr>
                <w:rFonts w:cstheme="minorHAnsi"/>
              </w:rPr>
            </w:pPr>
            <w:r>
              <w:rPr>
                <w:rFonts w:cstheme="minorHAnsi"/>
              </w:rPr>
              <w:t>312</w:t>
            </w:r>
          </w:p>
        </w:tc>
        <w:tc>
          <w:tcPr>
            <w:tcW w:w="2970" w:type="dxa"/>
          </w:tcPr>
          <w:p w14:paraId="1061B25D" w14:textId="77777777" w:rsidR="009166EB" w:rsidRPr="003E0616" w:rsidRDefault="009166EB" w:rsidP="00C550EA">
            <w:pPr>
              <w:pStyle w:val="NormalWeb"/>
              <w:spacing w:before="0" w:beforeAutospacing="0" w:after="0" w:afterAutospacing="0" w:line="276" w:lineRule="auto"/>
              <w:rPr>
                <w:rFonts w:asciiTheme="minorHAnsi" w:hAnsiTheme="minorHAnsi" w:cstheme="minorHAnsi"/>
              </w:rPr>
            </w:pPr>
            <w:r w:rsidRPr="003E0616">
              <w:rPr>
                <w:rFonts w:asciiTheme="minorHAnsi" w:hAnsiTheme="minorHAnsi" w:cstheme="minorHAnsi"/>
              </w:rPr>
              <w:t>Taelor Stagner, Breanna Horne, Madison Taylor, Kasey Mack</w:t>
            </w:r>
          </w:p>
          <w:p w14:paraId="1D57F0B2" w14:textId="77777777" w:rsidR="009166EB" w:rsidRPr="003E0616" w:rsidRDefault="009166EB" w:rsidP="00947E82">
            <w:pPr>
              <w:rPr>
                <w:rFonts w:cstheme="minorHAnsi"/>
              </w:rPr>
            </w:pPr>
          </w:p>
        </w:tc>
      </w:tr>
      <w:tr w:rsidR="009166EB" w14:paraId="2DC8FE72" w14:textId="41F853F2" w:rsidTr="009166EB">
        <w:tc>
          <w:tcPr>
            <w:tcW w:w="4855" w:type="dxa"/>
          </w:tcPr>
          <w:p w14:paraId="57993E37" w14:textId="3A44F38E" w:rsidR="009166EB" w:rsidRPr="003E0616" w:rsidRDefault="009166EB" w:rsidP="00947E82">
            <w:pPr>
              <w:rPr>
                <w:rFonts w:cstheme="minorHAnsi"/>
              </w:rPr>
            </w:pPr>
            <w:r>
              <w:rPr>
                <w:rFonts w:cstheme="minorHAnsi"/>
                <w:color w:val="000000"/>
              </w:rPr>
              <w:t>In pediatric patients with amputations who present with phantom limb pain, does mirror therapy during physical therapy compared to no mirror therapy result in greater improvements in quality of life?</w:t>
            </w:r>
          </w:p>
        </w:tc>
        <w:tc>
          <w:tcPr>
            <w:tcW w:w="1080" w:type="dxa"/>
          </w:tcPr>
          <w:p w14:paraId="2CF499ED" w14:textId="0A996AFD" w:rsidR="009166EB" w:rsidRPr="003E0616" w:rsidRDefault="009166EB" w:rsidP="00947E82">
            <w:pPr>
              <w:rPr>
                <w:rFonts w:cstheme="minorHAnsi"/>
              </w:rPr>
            </w:pPr>
            <w:r>
              <w:rPr>
                <w:rFonts w:cstheme="minorHAnsi"/>
              </w:rPr>
              <w:t>313</w:t>
            </w:r>
          </w:p>
        </w:tc>
        <w:tc>
          <w:tcPr>
            <w:tcW w:w="2970" w:type="dxa"/>
          </w:tcPr>
          <w:p w14:paraId="58116ABF" w14:textId="77777777" w:rsidR="009166EB" w:rsidRPr="003E0616" w:rsidRDefault="009166EB" w:rsidP="00C550EA">
            <w:pPr>
              <w:rPr>
                <w:rFonts w:cstheme="minorHAnsi"/>
              </w:rPr>
            </w:pPr>
            <w:r w:rsidRPr="003E0616">
              <w:rPr>
                <w:rFonts w:cstheme="minorHAnsi"/>
              </w:rPr>
              <w:t>MaryKate Murray, Ashlie Murray, Kayla Carlisle, Jessica Beavers</w:t>
            </w:r>
          </w:p>
          <w:p w14:paraId="3EC1D9B0" w14:textId="77777777" w:rsidR="009166EB" w:rsidRPr="003E0616" w:rsidRDefault="009166EB" w:rsidP="00947E82">
            <w:pPr>
              <w:rPr>
                <w:rFonts w:cstheme="minorHAnsi"/>
              </w:rPr>
            </w:pPr>
          </w:p>
        </w:tc>
      </w:tr>
      <w:tr w:rsidR="009166EB" w14:paraId="25D409B9" w14:textId="54F40D42" w:rsidTr="009166EB">
        <w:tc>
          <w:tcPr>
            <w:tcW w:w="4855" w:type="dxa"/>
          </w:tcPr>
          <w:p w14:paraId="12D61629" w14:textId="20E8A11E" w:rsidR="009166EB" w:rsidRPr="003E0616" w:rsidRDefault="009166EB" w:rsidP="00947E82">
            <w:pPr>
              <w:rPr>
                <w:rFonts w:cstheme="minorHAnsi"/>
              </w:rPr>
            </w:pPr>
            <w:r w:rsidRPr="003E0616">
              <w:rPr>
                <w:rFonts w:cstheme="minorHAnsi"/>
              </w:rPr>
              <w:t>Do Biofeedback Techniques improve Scapular Kinematic ROM compared to Standard Care in Adults with Subacromial Impingement?</w:t>
            </w:r>
          </w:p>
        </w:tc>
        <w:tc>
          <w:tcPr>
            <w:tcW w:w="1080" w:type="dxa"/>
          </w:tcPr>
          <w:p w14:paraId="3A1CE5F5" w14:textId="19A1F4DA" w:rsidR="009166EB" w:rsidRPr="003E0616" w:rsidRDefault="009166EB" w:rsidP="00947E82">
            <w:pPr>
              <w:rPr>
                <w:rFonts w:cstheme="minorHAnsi"/>
              </w:rPr>
            </w:pPr>
            <w:r>
              <w:rPr>
                <w:rFonts w:cstheme="minorHAnsi"/>
              </w:rPr>
              <w:t>314</w:t>
            </w:r>
          </w:p>
        </w:tc>
        <w:tc>
          <w:tcPr>
            <w:tcW w:w="2970" w:type="dxa"/>
          </w:tcPr>
          <w:p w14:paraId="01AEB14A" w14:textId="61CE814A" w:rsidR="009166EB" w:rsidRPr="003E0616" w:rsidRDefault="009166EB" w:rsidP="00947E82">
            <w:pPr>
              <w:rPr>
                <w:rFonts w:cstheme="minorHAnsi"/>
              </w:rPr>
            </w:pPr>
            <w:r w:rsidRPr="003E0616">
              <w:rPr>
                <w:rFonts w:cstheme="minorHAnsi"/>
              </w:rPr>
              <w:t>Katy Miller, Ashley Lutz, Richard Francis, Cody Mabe</w:t>
            </w:r>
          </w:p>
        </w:tc>
      </w:tr>
      <w:tr w:rsidR="009166EB" w14:paraId="19794429" w14:textId="68073256" w:rsidTr="009166EB">
        <w:tc>
          <w:tcPr>
            <w:tcW w:w="4855" w:type="dxa"/>
          </w:tcPr>
          <w:p w14:paraId="5285CDA2" w14:textId="384D7769" w:rsidR="009166EB" w:rsidRPr="003E0616" w:rsidRDefault="009166EB" w:rsidP="00947E82">
            <w:pPr>
              <w:rPr>
                <w:rFonts w:cstheme="minorHAnsi"/>
              </w:rPr>
            </w:pPr>
            <w:r w:rsidRPr="003E0616">
              <w:rPr>
                <w:rFonts w:cstheme="minorHAnsi"/>
              </w:rPr>
              <w:t xml:space="preserve">Does passive ROM with joint compressions improve bone mineralization on dual-energy x-ray absorptiometry in infants 26-36 weeks gestational age compared to those who do not receive this intervention? </w:t>
            </w:r>
          </w:p>
        </w:tc>
        <w:tc>
          <w:tcPr>
            <w:tcW w:w="1080" w:type="dxa"/>
          </w:tcPr>
          <w:p w14:paraId="722E9F02" w14:textId="67747235" w:rsidR="009166EB" w:rsidRPr="003E0616" w:rsidRDefault="009166EB" w:rsidP="00947E82">
            <w:pPr>
              <w:rPr>
                <w:rFonts w:cstheme="minorHAnsi"/>
              </w:rPr>
            </w:pPr>
            <w:r>
              <w:rPr>
                <w:rFonts w:cstheme="minorHAnsi"/>
              </w:rPr>
              <w:t>308</w:t>
            </w:r>
          </w:p>
        </w:tc>
        <w:tc>
          <w:tcPr>
            <w:tcW w:w="2970" w:type="dxa"/>
          </w:tcPr>
          <w:p w14:paraId="019703CB" w14:textId="1F8BFDFB" w:rsidR="009166EB" w:rsidRPr="003E0616" w:rsidRDefault="009166EB" w:rsidP="00947E82">
            <w:pPr>
              <w:rPr>
                <w:rFonts w:cstheme="minorHAnsi"/>
              </w:rPr>
            </w:pPr>
            <w:r w:rsidRPr="003E0616">
              <w:rPr>
                <w:rFonts w:cstheme="minorHAnsi"/>
              </w:rPr>
              <w:t>Rachael Ard, Jessica Stringfellow, Lisa Lashani</w:t>
            </w:r>
          </w:p>
        </w:tc>
      </w:tr>
      <w:tr w:rsidR="009166EB" w14:paraId="5CD0EB04" w14:textId="12D3CD9D" w:rsidTr="009166EB">
        <w:tc>
          <w:tcPr>
            <w:tcW w:w="4855" w:type="dxa"/>
          </w:tcPr>
          <w:p w14:paraId="5C38A253" w14:textId="0EEABC3B" w:rsidR="009166EB" w:rsidRPr="003E0616" w:rsidRDefault="009166EB" w:rsidP="00947E82">
            <w:pPr>
              <w:rPr>
                <w:rFonts w:cstheme="minorHAnsi"/>
              </w:rPr>
            </w:pPr>
            <w:r w:rsidRPr="003E0616">
              <w:rPr>
                <w:rFonts w:cstheme="minorHAnsi"/>
              </w:rPr>
              <w:t xml:space="preserve">Will early </w:t>
            </w:r>
            <w:proofErr w:type="spellStart"/>
            <w:r w:rsidRPr="003E0616">
              <w:rPr>
                <w:rFonts w:cstheme="minorHAnsi"/>
              </w:rPr>
              <w:t>post surgical</w:t>
            </w:r>
            <w:proofErr w:type="spellEnd"/>
            <w:r w:rsidRPr="003E0616">
              <w:rPr>
                <w:rFonts w:cstheme="minorHAnsi"/>
              </w:rPr>
              <w:t xml:space="preserve"> weightbearing (&lt; 3 weeks) lead to higher </w:t>
            </w:r>
            <w:proofErr w:type="spellStart"/>
            <w:r w:rsidRPr="003E0616">
              <w:rPr>
                <w:rFonts w:cstheme="minorHAnsi"/>
              </w:rPr>
              <w:t>rerupture</w:t>
            </w:r>
            <w:proofErr w:type="spellEnd"/>
            <w:r w:rsidRPr="003E0616">
              <w:rPr>
                <w:rFonts w:cstheme="minorHAnsi"/>
              </w:rPr>
              <w:t xml:space="preserve"> rates in surgical </w:t>
            </w:r>
            <w:proofErr w:type="spellStart"/>
            <w:r w:rsidRPr="003E0616">
              <w:rPr>
                <w:rFonts w:cstheme="minorHAnsi"/>
              </w:rPr>
              <w:t>achilles</w:t>
            </w:r>
            <w:proofErr w:type="spellEnd"/>
            <w:r w:rsidRPr="003E0616">
              <w:rPr>
                <w:rFonts w:cstheme="minorHAnsi"/>
              </w:rPr>
              <w:t xml:space="preserve"> repair compared to delayed (&gt; 3 weeks) weightbearing?</w:t>
            </w:r>
          </w:p>
        </w:tc>
        <w:tc>
          <w:tcPr>
            <w:tcW w:w="1080" w:type="dxa"/>
          </w:tcPr>
          <w:p w14:paraId="03B82FCC" w14:textId="0CDD3A93" w:rsidR="009166EB" w:rsidRPr="003E0616" w:rsidRDefault="009166EB" w:rsidP="00947E82">
            <w:pPr>
              <w:rPr>
                <w:rFonts w:cstheme="minorHAnsi"/>
              </w:rPr>
            </w:pPr>
            <w:r>
              <w:rPr>
                <w:rFonts w:cstheme="minorHAnsi"/>
              </w:rPr>
              <w:t>323</w:t>
            </w:r>
          </w:p>
        </w:tc>
        <w:tc>
          <w:tcPr>
            <w:tcW w:w="2970" w:type="dxa"/>
          </w:tcPr>
          <w:p w14:paraId="4C0E549D" w14:textId="75DF16C9" w:rsidR="009166EB" w:rsidRPr="003E0616" w:rsidRDefault="009166EB" w:rsidP="00947E82">
            <w:pPr>
              <w:rPr>
                <w:rFonts w:cstheme="minorHAnsi"/>
              </w:rPr>
            </w:pPr>
            <w:r w:rsidRPr="003E0616">
              <w:rPr>
                <w:rFonts w:cstheme="minorHAnsi"/>
              </w:rPr>
              <w:t>Dustin Cisler, Caleb Hampton, Brian Hegarty, Eli Horton</w:t>
            </w:r>
          </w:p>
        </w:tc>
      </w:tr>
      <w:tr w:rsidR="009166EB" w14:paraId="6E676BCF" w14:textId="706B0731" w:rsidTr="009166EB">
        <w:tc>
          <w:tcPr>
            <w:tcW w:w="4855" w:type="dxa"/>
          </w:tcPr>
          <w:p w14:paraId="45C50447" w14:textId="30FB4581" w:rsidR="009166EB" w:rsidRPr="003E0616" w:rsidRDefault="009166EB" w:rsidP="00947E82">
            <w:pPr>
              <w:rPr>
                <w:rFonts w:cstheme="minorHAnsi"/>
              </w:rPr>
            </w:pPr>
            <w:r>
              <w:t>What is the impact of weight bias on clinical decision making in healthcare professionals?</w:t>
            </w:r>
          </w:p>
        </w:tc>
        <w:tc>
          <w:tcPr>
            <w:tcW w:w="1080" w:type="dxa"/>
          </w:tcPr>
          <w:p w14:paraId="324202F1" w14:textId="66699597" w:rsidR="009166EB" w:rsidRPr="003E0616" w:rsidRDefault="009166EB" w:rsidP="00947E82">
            <w:pPr>
              <w:rPr>
                <w:rFonts w:cstheme="minorHAnsi"/>
              </w:rPr>
            </w:pPr>
            <w:r>
              <w:rPr>
                <w:rFonts w:cstheme="minorHAnsi"/>
              </w:rPr>
              <w:t>319</w:t>
            </w:r>
          </w:p>
        </w:tc>
        <w:tc>
          <w:tcPr>
            <w:tcW w:w="2970" w:type="dxa"/>
          </w:tcPr>
          <w:p w14:paraId="2977A7A7" w14:textId="6B5E3871" w:rsidR="009166EB" w:rsidRPr="003E0616" w:rsidRDefault="009166EB" w:rsidP="00947E82">
            <w:pPr>
              <w:rPr>
                <w:rFonts w:cstheme="minorHAnsi"/>
              </w:rPr>
            </w:pPr>
            <w:r>
              <w:t>Madison Harper, Kelly Martin, Jordan Ray, Morgan Walker</w:t>
            </w:r>
          </w:p>
        </w:tc>
      </w:tr>
      <w:tr w:rsidR="009166EB" w14:paraId="4E7F3A1C" w14:textId="7627C0F4" w:rsidTr="009166EB">
        <w:tc>
          <w:tcPr>
            <w:tcW w:w="4855" w:type="dxa"/>
          </w:tcPr>
          <w:p w14:paraId="53794863" w14:textId="33ED5ED4" w:rsidR="009166EB" w:rsidRDefault="009166EB" w:rsidP="00947E82">
            <w:r>
              <w:rPr>
                <w:rFonts w:cstheme="minorHAnsi"/>
                <w:color w:val="000000"/>
              </w:rPr>
              <w:t>Does preoperative strength conditioning in female soccer athletes (14-30) lead to faster return to sport after operative repair?</w:t>
            </w:r>
          </w:p>
        </w:tc>
        <w:tc>
          <w:tcPr>
            <w:tcW w:w="1080" w:type="dxa"/>
          </w:tcPr>
          <w:p w14:paraId="6EDAD208" w14:textId="7E2BA81E" w:rsidR="009166EB" w:rsidRPr="003E0616" w:rsidRDefault="009166EB" w:rsidP="00947E82">
            <w:pPr>
              <w:rPr>
                <w:rFonts w:cstheme="minorHAnsi"/>
              </w:rPr>
            </w:pPr>
            <w:r>
              <w:rPr>
                <w:rFonts w:cstheme="minorHAnsi"/>
              </w:rPr>
              <w:t>211</w:t>
            </w:r>
          </w:p>
        </w:tc>
        <w:tc>
          <w:tcPr>
            <w:tcW w:w="2970" w:type="dxa"/>
          </w:tcPr>
          <w:p w14:paraId="5BB87577" w14:textId="4CF37987" w:rsidR="009166EB" w:rsidRDefault="009166EB" w:rsidP="00947E82">
            <w:r>
              <w:t>Julia Eberly, Jen Zazworsky, Victoria Kluttz</w:t>
            </w:r>
          </w:p>
        </w:tc>
      </w:tr>
      <w:tr w:rsidR="009166EB" w14:paraId="5A7E48F2" w14:textId="357BA088" w:rsidTr="009166EB">
        <w:tc>
          <w:tcPr>
            <w:tcW w:w="4855" w:type="dxa"/>
          </w:tcPr>
          <w:p w14:paraId="6E68348D" w14:textId="4407B69D" w:rsidR="009166EB" w:rsidRPr="00807D1F" w:rsidRDefault="009166EB" w:rsidP="00947E82">
            <w:r>
              <w:t xml:space="preserve">Is the prevalence and incidence of postpartum depression during the fourth trimester higher among women living in rural areas compared to those living in urban areas? </w:t>
            </w:r>
          </w:p>
        </w:tc>
        <w:tc>
          <w:tcPr>
            <w:tcW w:w="1080" w:type="dxa"/>
          </w:tcPr>
          <w:p w14:paraId="2EB4FA0A" w14:textId="0173D918" w:rsidR="009166EB" w:rsidRPr="003E0616" w:rsidRDefault="009166EB" w:rsidP="00947E82">
            <w:pPr>
              <w:rPr>
                <w:rFonts w:cstheme="minorHAnsi"/>
              </w:rPr>
            </w:pPr>
            <w:r>
              <w:rPr>
                <w:rFonts w:cstheme="minorHAnsi"/>
              </w:rPr>
              <w:t>212</w:t>
            </w:r>
          </w:p>
        </w:tc>
        <w:tc>
          <w:tcPr>
            <w:tcW w:w="2970" w:type="dxa"/>
          </w:tcPr>
          <w:p w14:paraId="6FE90C00" w14:textId="0BBF4550" w:rsidR="009166EB" w:rsidRDefault="009166EB" w:rsidP="00947E82">
            <w:r>
              <w:t>Chandler Gee, Katlyn Hargrove, Michael Hunt</w:t>
            </w:r>
          </w:p>
        </w:tc>
      </w:tr>
      <w:tr w:rsidR="009166EB" w14:paraId="2D3BA4A6" w14:textId="04277F16" w:rsidTr="009166EB">
        <w:tc>
          <w:tcPr>
            <w:tcW w:w="4855" w:type="dxa"/>
          </w:tcPr>
          <w:p w14:paraId="216B1EC8" w14:textId="6FCE98BE" w:rsidR="009166EB" w:rsidRPr="00C2197F" w:rsidRDefault="009166EB" w:rsidP="00947E82">
            <w:pPr>
              <w:rPr>
                <w:color w:val="313131"/>
              </w:rPr>
            </w:pPr>
            <w:r>
              <w:rPr>
                <w:color w:val="313131"/>
              </w:rPr>
              <w:t>In the adult population with FAI, is resistance training more effective in increasing the Hip Outcome Score compared to a hip arthroscopy?</w:t>
            </w:r>
          </w:p>
        </w:tc>
        <w:tc>
          <w:tcPr>
            <w:tcW w:w="1080" w:type="dxa"/>
          </w:tcPr>
          <w:p w14:paraId="2588ACCF" w14:textId="69370A82" w:rsidR="009166EB" w:rsidRPr="003E0616" w:rsidRDefault="009166EB" w:rsidP="00947E82">
            <w:pPr>
              <w:rPr>
                <w:rFonts w:cstheme="minorHAnsi"/>
              </w:rPr>
            </w:pPr>
            <w:r>
              <w:rPr>
                <w:rFonts w:cstheme="minorHAnsi"/>
              </w:rPr>
              <w:t>213</w:t>
            </w:r>
          </w:p>
        </w:tc>
        <w:tc>
          <w:tcPr>
            <w:tcW w:w="2970" w:type="dxa"/>
          </w:tcPr>
          <w:p w14:paraId="075A45FD" w14:textId="1614C241" w:rsidR="009166EB" w:rsidRDefault="009166EB" w:rsidP="00947E82">
            <w:r>
              <w:t>Jessica Lane, Richard Ortiz, Ava Rio-Anderson, Samuel Drew</w:t>
            </w:r>
          </w:p>
        </w:tc>
      </w:tr>
    </w:tbl>
    <w:p w14:paraId="2E5BA1D5" w14:textId="60A8502B" w:rsidR="009D57E7" w:rsidRDefault="009D57E7" w:rsidP="00947E82"/>
    <w:sectPr w:rsidR="009D5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281D"/>
    <w:multiLevelType w:val="hybridMultilevel"/>
    <w:tmpl w:val="18549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5495C"/>
    <w:multiLevelType w:val="hybridMultilevel"/>
    <w:tmpl w:val="1116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22F9E"/>
    <w:multiLevelType w:val="hybridMultilevel"/>
    <w:tmpl w:val="06B23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C7D8E"/>
    <w:multiLevelType w:val="hybridMultilevel"/>
    <w:tmpl w:val="E452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114AD"/>
    <w:multiLevelType w:val="hybridMultilevel"/>
    <w:tmpl w:val="B4E4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456899"/>
    <w:multiLevelType w:val="hybridMultilevel"/>
    <w:tmpl w:val="02EC6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287327"/>
    <w:multiLevelType w:val="hybridMultilevel"/>
    <w:tmpl w:val="B10A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DE0E96"/>
    <w:multiLevelType w:val="hybridMultilevel"/>
    <w:tmpl w:val="A77A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
  </w:num>
  <w:num w:numId="5">
    <w:abstractNumId w:val="6"/>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E82"/>
    <w:rsid w:val="001646A8"/>
    <w:rsid w:val="00233402"/>
    <w:rsid w:val="00295994"/>
    <w:rsid w:val="002A5DE4"/>
    <w:rsid w:val="0036238B"/>
    <w:rsid w:val="003E0616"/>
    <w:rsid w:val="004B6693"/>
    <w:rsid w:val="00591B6C"/>
    <w:rsid w:val="005B3DF1"/>
    <w:rsid w:val="006B410E"/>
    <w:rsid w:val="007A605A"/>
    <w:rsid w:val="00803D74"/>
    <w:rsid w:val="00807D1F"/>
    <w:rsid w:val="00883C7B"/>
    <w:rsid w:val="00896DB1"/>
    <w:rsid w:val="008F2791"/>
    <w:rsid w:val="009140AB"/>
    <w:rsid w:val="009166EB"/>
    <w:rsid w:val="009331B6"/>
    <w:rsid w:val="00947E82"/>
    <w:rsid w:val="009D57E7"/>
    <w:rsid w:val="00C2197F"/>
    <w:rsid w:val="00C30FE6"/>
    <w:rsid w:val="00C550EA"/>
    <w:rsid w:val="00CE5904"/>
    <w:rsid w:val="00D16CA4"/>
    <w:rsid w:val="00D25C11"/>
    <w:rsid w:val="00DE4CBF"/>
    <w:rsid w:val="00E049AC"/>
    <w:rsid w:val="00E30E82"/>
    <w:rsid w:val="00EC1817"/>
    <w:rsid w:val="00F04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551E4"/>
  <w15:chartTrackingRefBased/>
  <w15:docId w15:val="{C4425EE3-6BDF-4953-AC11-995A90CD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7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50EA"/>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5B3DF1"/>
    <w:pPr>
      <w:ind w:left="720"/>
      <w:contextualSpacing/>
    </w:pPr>
  </w:style>
  <w:style w:type="character" w:styleId="Hyperlink">
    <w:name w:val="Hyperlink"/>
    <w:basedOn w:val="DefaultParagraphFont"/>
    <w:uiPriority w:val="99"/>
    <w:unhideWhenUsed/>
    <w:rsid w:val="00CE59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23882">
      <w:bodyDiv w:val="1"/>
      <w:marLeft w:val="0"/>
      <w:marRight w:val="0"/>
      <w:marTop w:val="0"/>
      <w:marBottom w:val="0"/>
      <w:divBdr>
        <w:top w:val="none" w:sz="0" w:space="0" w:color="auto"/>
        <w:left w:val="none" w:sz="0" w:space="0" w:color="auto"/>
        <w:bottom w:val="none" w:sz="0" w:space="0" w:color="auto"/>
        <w:right w:val="none" w:sz="0" w:space="0" w:color="auto"/>
      </w:divBdr>
    </w:div>
    <w:div w:id="655720233">
      <w:bodyDiv w:val="1"/>
      <w:marLeft w:val="0"/>
      <w:marRight w:val="0"/>
      <w:marTop w:val="0"/>
      <w:marBottom w:val="0"/>
      <w:divBdr>
        <w:top w:val="none" w:sz="0" w:space="0" w:color="auto"/>
        <w:left w:val="none" w:sz="0" w:space="0" w:color="auto"/>
        <w:bottom w:val="none" w:sz="0" w:space="0" w:color="auto"/>
        <w:right w:val="none" w:sz="0" w:space="0" w:color="auto"/>
      </w:divBdr>
    </w:div>
    <w:div w:id="672489116">
      <w:bodyDiv w:val="1"/>
      <w:marLeft w:val="0"/>
      <w:marRight w:val="0"/>
      <w:marTop w:val="0"/>
      <w:marBottom w:val="0"/>
      <w:divBdr>
        <w:top w:val="none" w:sz="0" w:space="0" w:color="auto"/>
        <w:left w:val="none" w:sz="0" w:space="0" w:color="auto"/>
        <w:bottom w:val="none" w:sz="0" w:space="0" w:color="auto"/>
        <w:right w:val="none" w:sz="0" w:space="0" w:color="auto"/>
      </w:divBdr>
    </w:div>
    <w:div w:id="835464805">
      <w:bodyDiv w:val="1"/>
      <w:marLeft w:val="0"/>
      <w:marRight w:val="0"/>
      <w:marTop w:val="0"/>
      <w:marBottom w:val="0"/>
      <w:divBdr>
        <w:top w:val="none" w:sz="0" w:space="0" w:color="auto"/>
        <w:left w:val="none" w:sz="0" w:space="0" w:color="auto"/>
        <w:bottom w:val="none" w:sz="0" w:space="0" w:color="auto"/>
        <w:right w:val="none" w:sz="0" w:space="0" w:color="auto"/>
      </w:divBdr>
    </w:div>
    <w:div w:id="1113284241">
      <w:bodyDiv w:val="1"/>
      <w:marLeft w:val="0"/>
      <w:marRight w:val="0"/>
      <w:marTop w:val="0"/>
      <w:marBottom w:val="0"/>
      <w:divBdr>
        <w:top w:val="none" w:sz="0" w:space="0" w:color="auto"/>
        <w:left w:val="none" w:sz="0" w:space="0" w:color="auto"/>
        <w:bottom w:val="none" w:sz="0" w:space="0" w:color="auto"/>
        <w:right w:val="none" w:sz="0" w:space="0" w:color="auto"/>
      </w:divBdr>
    </w:div>
    <w:div w:id="1267884310">
      <w:bodyDiv w:val="1"/>
      <w:marLeft w:val="0"/>
      <w:marRight w:val="0"/>
      <w:marTop w:val="0"/>
      <w:marBottom w:val="0"/>
      <w:divBdr>
        <w:top w:val="none" w:sz="0" w:space="0" w:color="auto"/>
        <w:left w:val="none" w:sz="0" w:space="0" w:color="auto"/>
        <w:bottom w:val="none" w:sz="0" w:space="0" w:color="auto"/>
        <w:right w:val="none" w:sz="0" w:space="0" w:color="auto"/>
      </w:divBdr>
    </w:div>
    <w:div w:id="1316567095">
      <w:bodyDiv w:val="1"/>
      <w:marLeft w:val="0"/>
      <w:marRight w:val="0"/>
      <w:marTop w:val="0"/>
      <w:marBottom w:val="0"/>
      <w:divBdr>
        <w:top w:val="none" w:sz="0" w:space="0" w:color="auto"/>
        <w:left w:val="none" w:sz="0" w:space="0" w:color="auto"/>
        <w:bottom w:val="none" w:sz="0" w:space="0" w:color="auto"/>
        <w:right w:val="none" w:sz="0" w:space="0" w:color="auto"/>
      </w:divBdr>
    </w:div>
    <w:div w:id="194618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Eubanks, Bridget R</dc:creator>
  <cp:keywords/>
  <dc:description/>
  <cp:lastModifiedBy>Eubanks, Bridget R</cp:lastModifiedBy>
  <cp:revision>3</cp:revision>
  <dcterms:created xsi:type="dcterms:W3CDTF">2022-03-11T01:20:00Z</dcterms:created>
  <dcterms:modified xsi:type="dcterms:W3CDTF">2022-03-11T01:25:00Z</dcterms:modified>
</cp:coreProperties>
</file>