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2FE4" w14:textId="77777777" w:rsidR="00E10AB7" w:rsidRPr="002A2C7E" w:rsidRDefault="00E10AB7" w:rsidP="00087DE3">
      <w:pPr>
        <w:spacing w:after="0" w:line="240" w:lineRule="auto"/>
        <w:rPr>
          <w:rFonts w:eastAsia="Times New Roman"/>
          <w:color w:val="000000" w:themeColor="text1"/>
        </w:rPr>
      </w:pPr>
      <w:bookmarkStart w:id="0" w:name="_Hlk50732440"/>
      <w:r w:rsidRPr="002A2C7E">
        <w:rPr>
          <w:rFonts w:eastAsia="Times New Roman"/>
          <w:noProof/>
          <w:color w:val="000000" w:themeColor="text1"/>
        </w:rPr>
        <w:drawing>
          <wp:inline distT="0" distB="0" distL="0" distR="0" wp14:anchorId="11EC74E0" wp14:editId="374C6541">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68711A36"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56078865"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7A08716A"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30F3F0D6"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196B0900" w14:textId="77777777" w:rsidR="00E10AB7" w:rsidRPr="002A2C7E" w:rsidRDefault="00E10AB7" w:rsidP="007B1E98">
      <w:pPr>
        <w:spacing w:after="0" w:line="240" w:lineRule="auto"/>
        <w:jc w:val="center"/>
        <w:outlineLvl w:val="0"/>
        <w:rPr>
          <w:rFonts w:ascii="Century Schoolbook" w:eastAsia="Times New Roman" w:hAnsi="Century Schoolbook"/>
          <w:color w:val="000000" w:themeColor="text1"/>
        </w:rPr>
      </w:pPr>
      <w:proofErr w:type="spellStart"/>
      <w:r w:rsidRPr="002A2C7E">
        <w:rPr>
          <w:rFonts w:ascii="Century Schoolbook" w:eastAsia="Times New Roman" w:hAnsi="Century Schoolbook"/>
          <w:color w:val="000000" w:themeColor="text1"/>
        </w:rPr>
        <w:t>Dentop</w:t>
      </w:r>
      <w:proofErr w:type="spellEnd"/>
      <w:r w:rsidRPr="002A2C7E">
        <w:rPr>
          <w:rFonts w:ascii="Century Schoolbook" w:eastAsia="Times New Roman" w:hAnsi="Century Schoolbook"/>
          <w:color w:val="000000" w:themeColor="text1"/>
        </w:rPr>
        <w:t xml:space="preserve"> Studios,</w:t>
      </w:r>
    </w:p>
    <w:p w14:paraId="3A4514E0" w14:textId="77777777" w:rsidR="00E10AB7" w:rsidRPr="002A2C7E" w:rsidRDefault="00E10AB7" w:rsidP="007B1E98">
      <w:pPr>
        <w:spacing w:after="0" w:line="240" w:lineRule="auto"/>
        <w:outlineLvl w:val="0"/>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t>Appellant,</w:t>
      </w:r>
    </w:p>
    <w:p w14:paraId="073EA0FB"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08B27B3A"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-against-</w:t>
      </w:r>
    </w:p>
    <w:p w14:paraId="422E22D5"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7EFB1925"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The Pilton Company,</w:t>
      </w:r>
    </w:p>
    <w:p w14:paraId="0200A37F" w14:textId="052454B4" w:rsidR="00E10AB7" w:rsidRPr="002A2C7E" w:rsidRDefault="00E10AB7" w:rsidP="007B1E98">
      <w:pPr>
        <w:spacing w:after="0" w:line="240" w:lineRule="auto"/>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r>
      <w:r w:rsidRPr="002A2C7E">
        <w:rPr>
          <w:rFonts w:ascii="Century Schoolbook" w:eastAsia="Times New Roman" w:hAnsi="Century Schoolbook"/>
          <w:color w:val="000000" w:themeColor="text1"/>
        </w:rPr>
        <w:tab/>
        <w:t>Appellee.</w:t>
      </w:r>
    </w:p>
    <w:p w14:paraId="6D8CE6C5"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517E1724"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6D4AAF7E"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653B78CC"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3596060C" w14:textId="77777777" w:rsidR="00E10AB7" w:rsidRPr="002A2C7E" w:rsidRDefault="00E10AB7" w:rsidP="007B1E98">
      <w:pPr>
        <w:spacing w:after="0" w:line="240" w:lineRule="auto"/>
        <w:jc w:val="center"/>
        <w:rPr>
          <w:rFonts w:ascii="Century Schoolbook" w:eastAsia="Times New Roman" w:hAnsi="Century Schoolbook"/>
          <w:color w:val="000000" w:themeColor="text1"/>
        </w:rPr>
      </w:pPr>
    </w:p>
    <w:p w14:paraId="5772CF54" w14:textId="77777777" w:rsidR="00E10AB7" w:rsidRPr="002A2C7E" w:rsidRDefault="00E10AB7" w:rsidP="007B1E98">
      <w:pPr>
        <w:spacing w:after="0" w:line="240" w:lineRule="auto"/>
        <w:jc w:val="center"/>
        <w:outlineLvl w:val="0"/>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Memorandum of Law</w:t>
      </w:r>
    </w:p>
    <w:p w14:paraId="6A88A29A"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16D2ED07"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34DBDB6B" w14:textId="77777777" w:rsidR="00E10AB7" w:rsidRPr="002A2C7E" w:rsidRDefault="00E10AB7" w:rsidP="007B1E98">
      <w:pPr>
        <w:spacing w:after="0" w:line="240" w:lineRule="auto"/>
        <w:rPr>
          <w:rFonts w:ascii="Century Schoolbook" w:eastAsia="Times New Roman" w:hAnsi="Century Schoolbook"/>
          <w:color w:val="000000" w:themeColor="text1"/>
        </w:rPr>
      </w:pPr>
    </w:p>
    <w:p w14:paraId="717D6259"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7232DF4C"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24AD6743"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2B5F4A89"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01BB3168"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Prepared by:</w:t>
      </w:r>
    </w:p>
    <w:p w14:paraId="056308C6" w14:textId="2E8784D6" w:rsidR="00E10AB7" w:rsidRDefault="00E10AB7" w:rsidP="007B1E98">
      <w:pPr>
        <w:spacing w:after="0" w:line="240" w:lineRule="auto"/>
        <w:jc w:val="right"/>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Michael Jay-Hyung Yoon</w:t>
      </w:r>
    </w:p>
    <w:p w14:paraId="1FFFCB81" w14:textId="332ECB76" w:rsidR="002D39A1" w:rsidRDefault="002D39A1" w:rsidP="007B1E98">
      <w:pPr>
        <w:spacing w:after="0" w:line="240" w:lineRule="auto"/>
        <w:jc w:val="right"/>
        <w:rPr>
          <w:rFonts w:ascii="Century Schoolbook" w:eastAsia="Times New Roman" w:hAnsi="Century Schoolbook"/>
          <w:color w:val="000000" w:themeColor="text1"/>
        </w:rPr>
      </w:pPr>
    </w:p>
    <w:p w14:paraId="25403F2B" w14:textId="2CC40B2C" w:rsidR="002D39A1" w:rsidRDefault="002D39A1" w:rsidP="007B1E98">
      <w:pPr>
        <w:spacing w:after="0" w:line="240" w:lineRule="auto"/>
        <w:jc w:val="right"/>
        <w:rPr>
          <w:rFonts w:ascii="Century Schoolbook" w:eastAsia="Times New Roman" w:hAnsi="Century Schoolbook"/>
          <w:color w:val="000000" w:themeColor="text1"/>
        </w:rPr>
      </w:pPr>
    </w:p>
    <w:p w14:paraId="77ED5373" w14:textId="77777777" w:rsidR="002D39A1" w:rsidRPr="002A2C7E" w:rsidRDefault="002D39A1" w:rsidP="007B1E98">
      <w:pPr>
        <w:spacing w:after="0" w:line="240" w:lineRule="auto"/>
        <w:jc w:val="right"/>
        <w:rPr>
          <w:rFonts w:ascii="Century Schoolbook" w:eastAsia="Times New Roman" w:hAnsi="Century Schoolbook"/>
          <w:color w:val="000000" w:themeColor="text1"/>
        </w:rPr>
      </w:pPr>
    </w:p>
    <w:p w14:paraId="43544AEE" w14:textId="46051479" w:rsidR="00E10AB7" w:rsidRPr="002A2C7E" w:rsidRDefault="00E10AB7" w:rsidP="007B1E98">
      <w:pPr>
        <w:spacing w:after="0" w:line="240" w:lineRule="auto"/>
        <w:jc w:val="right"/>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 xml:space="preserve">Principal Editor: </w:t>
      </w:r>
      <w:bookmarkStart w:id="1" w:name="_Hlk55292138"/>
      <w:r w:rsidR="00D80426">
        <w:rPr>
          <w:rFonts w:ascii="Century Schoolbook" w:eastAsia="Times New Roman" w:hAnsi="Century Schoolbook"/>
          <w:color w:val="000000" w:themeColor="text1"/>
        </w:rPr>
        <w:t>Michael Scott Moulin</w:t>
      </w:r>
      <w:bookmarkEnd w:id="1"/>
    </w:p>
    <w:p w14:paraId="13CB635F" w14:textId="560DD8E7" w:rsidR="00E10AB7" w:rsidRPr="002A2C7E" w:rsidRDefault="00E10AB7" w:rsidP="007B1E98">
      <w:pPr>
        <w:spacing w:after="0" w:line="240" w:lineRule="auto"/>
        <w:jc w:val="right"/>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Supervising Editors:</w:t>
      </w:r>
      <w:r w:rsidR="00D80426">
        <w:rPr>
          <w:rFonts w:ascii="Century Schoolbook" w:eastAsia="Times New Roman" w:hAnsi="Century Schoolbook"/>
          <w:color w:val="000000" w:themeColor="text1"/>
        </w:rPr>
        <w:t xml:space="preserve"> </w:t>
      </w:r>
      <w:bookmarkStart w:id="2" w:name="_Hlk55292218"/>
      <w:r w:rsidR="00D80426">
        <w:rPr>
          <w:rFonts w:ascii="Century Schoolbook" w:eastAsia="Times New Roman" w:hAnsi="Century Schoolbook"/>
          <w:color w:val="000000" w:themeColor="text1"/>
        </w:rPr>
        <w:t xml:space="preserve">Sara </w:t>
      </w:r>
      <w:proofErr w:type="spellStart"/>
      <w:r w:rsidR="00D80426">
        <w:rPr>
          <w:rFonts w:ascii="Century Schoolbook" w:eastAsia="Times New Roman" w:hAnsi="Century Schoolbook"/>
          <w:color w:val="000000" w:themeColor="text1"/>
        </w:rPr>
        <w:t>Wat</w:t>
      </w:r>
      <w:r w:rsidR="00D725EF">
        <w:rPr>
          <w:rFonts w:ascii="Century Schoolbook" w:eastAsia="Times New Roman" w:hAnsi="Century Schoolbook"/>
          <w:color w:val="000000" w:themeColor="text1"/>
        </w:rPr>
        <w:t>a</w:t>
      </w:r>
      <w:r w:rsidR="00D80426">
        <w:rPr>
          <w:rFonts w:ascii="Century Schoolbook" w:eastAsia="Times New Roman" w:hAnsi="Century Schoolbook"/>
          <w:color w:val="000000" w:themeColor="text1"/>
        </w:rPr>
        <w:t>r</w:t>
      </w:r>
      <w:proofErr w:type="spellEnd"/>
      <w:r w:rsidR="00DE0344">
        <w:rPr>
          <w:rFonts w:ascii="Century Schoolbook" w:eastAsia="Times New Roman" w:hAnsi="Century Schoolbook"/>
          <w:color w:val="000000" w:themeColor="text1"/>
        </w:rPr>
        <w:t xml:space="preserve"> &amp;</w:t>
      </w:r>
      <w:r w:rsidR="00D80426" w:rsidRPr="00D80426">
        <w:rPr>
          <w:rFonts w:ascii="Arial" w:hAnsi="Arial" w:cs="Arial"/>
          <w:color w:val="222222"/>
          <w:shd w:val="clear" w:color="auto" w:fill="FFFFFF"/>
        </w:rPr>
        <w:t xml:space="preserve"> </w:t>
      </w:r>
      <w:r w:rsidR="00D80426" w:rsidRPr="00D80426">
        <w:rPr>
          <w:rFonts w:ascii="Century Schoolbook" w:eastAsia="Times New Roman" w:hAnsi="Century Schoolbook"/>
          <w:color w:val="000000" w:themeColor="text1"/>
        </w:rPr>
        <w:t>David Rapp-Kirshner</w:t>
      </w:r>
      <w:r w:rsidRPr="002A2C7E">
        <w:rPr>
          <w:rFonts w:ascii="Century Schoolbook" w:eastAsia="Times New Roman" w:hAnsi="Century Schoolbook"/>
          <w:color w:val="000000" w:themeColor="text1"/>
        </w:rPr>
        <w:t xml:space="preserve"> </w:t>
      </w:r>
      <w:bookmarkEnd w:id="2"/>
    </w:p>
    <w:p w14:paraId="7CAFF2AC" w14:textId="5DB88E54" w:rsidR="00E10AB7" w:rsidRPr="002A2C7E" w:rsidRDefault="00E10AB7" w:rsidP="007B1E98">
      <w:pPr>
        <w:spacing w:after="0" w:line="240" w:lineRule="auto"/>
        <w:jc w:val="right"/>
        <w:rPr>
          <w:rFonts w:ascii="Century Schoolbook" w:eastAsia="Times New Roman" w:hAnsi="Century Schoolbook"/>
          <w:color w:val="000000" w:themeColor="text1"/>
        </w:rPr>
      </w:pPr>
      <w:r w:rsidRPr="002A2C7E">
        <w:rPr>
          <w:rFonts w:ascii="Century Schoolbook" w:eastAsia="Times New Roman" w:hAnsi="Century Schoolbook"/>
          <w:color w:val="000000" w:themeColor="text1"/>
        </w:rPr>
        <w:t xml:space="preserve">Secondary Editors: </w:t>
      </w:r>
      <w:r w:rsidR="00D80426" w:rsidRPr="00D80426">
        <w:rPr>
          <w:rFonts w:ascii="Century Schoolbook" w:eastAsia="Times New Roman" w:hAnsi="Century Schoolbook"/>
          <w:color w:val="000000" w:themeColor="text1"/>
        </w:rPr>
        <w:t xml:space="preserve">Will </w:t>
      </w:r>
      <w:proofErr w:type="spellStart"/>
      <w:r w:rsidR="00D80426" w:rsidRPr="00D80426">
        <w:rPr>
          <w:rFonts w:ascii="Century Schoolbook" w:eastAsia="Times New Roman" w:hAnsi="Century Schoolbook"/>
          <w:color w:val="000000" w:themeColor="text1"/>
        </w:rPr>
        <w:t>Walant</w:t>
      </w:r>
      <w:proofErr w:type="spellEnd"/>
      <w:r w:rsidR="00DE0344">
        <w:rPr>
          <w:rFonts w:ascii="Century Schoolbook" w:eastAsia="Times New Roman" w:hAnsi="Century Schoolbook"/>
          <w:color w:val="000000" w:themeColor="text1"/>
        </w:rPr>
        <w:t xml:space="preserve"> &amp;</w:t>
      </w:r>
      <w:r w:rsidR="00D80426">
        <w:rPr>
          <w:rFonts w:ascii="Century Schoolbook" w:eastAsia="Times New Roman" w:hAnsi="Century Schoolbook"/>
          <w:color w:val="000000" w:themeColor="text1"/>
        </w:rPr>
        <w:t xml:space="preserve"> </w:t>
      </w:r>
      <w:r w:rsidR="00D80426" w:rsidRPr="00D80426">
        <w:rPr>
          <w:rFonts w:ascii="Century Schoolbook" w:eastAsia="Times New Roman" w:hAnsi="Century Schoolbook"/>
          <w:color w:val="000000" w:themeColor="text1"/>
        </w:rPr>
        <w:t>Rachel Sang</w:t>
      </w:r>
    </w:p>
    <w:p w14:paraId="04FDB569"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1425399D"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732005E9" w14:textId="77777777" w:rsidR="00E10AB7" w:rsidRPr="002A2C7E" w:rsidRDefault="00E10AB7" w:rsidP="007B1E98">
      <w:pPr>
        <w:spacing w:after="0" w:line="240" w:lineRule="auto"/>
        <w:jc w:val="right"/>
        <w:rPr>
          <w:rFonts w:ascii="Century Schoolbook" w:eastAsia="Times New Roman" w:hAnsi="Century Schoolbook"/>
          <w:color w:val="000000" w:themeColor="text1"/>
        </w:rPr>
      </w:pPr>
    </w:p>
    <w:p w14:paraId="2E8FBF98" w14:textId="6700109C" w:rsidR="00E10AB7" w:rsidRPr="002A2C7E" w:rsidRDefault="00E10AB7" w:rsidP="00A71F4A">
      <w:pPr>
        <w:spacing w:after="0" w:line="240" w:lineRule="auto"/>
        <w:jc w:val="center"/>
        <w:rPr>
          <w:rFonts w:ascii="Century Schoolbook" w:eastAsia="Times New Roman" w:hAnsi="Century Schoolbook"/>
          <w:b/>
          <w:u w:val="single"/>
        </w:rPr>
      </w:pPr>
      <w:r w:rsidRPr="002A2C7E">
        <w:rPr>
          <w:rFonts w:ascii="Century Schoolbook" w:eastAsia="Times New Roman" w:hAnsi="Century Schoolbook"/>
          <w:color w:val="000000" w:themeColor="text1"/>
        </w:rPr>
        <w:t xml:space="preserve">This </w:t>
      </w:r>
      <w:r w:rsidR="009D16DA">
        <w:rPr>
          <w:rFonts w:ascii="Century Schoolbook" w:eastAsia="Times New Roman" w:hAnsi="Century Schoolbook"/>
          <w:color w:val="000000" w:themeColor="text1"/>
        </w:rPr>
        <w:t>Memorandum</w:t>
      </w:r>
      <w:r w:rsidR="009D16DA" w:rsidRPr="002A2C7E">
        <w:rPr>
          <w:rFonts w:ascii="Century Schoolbook" w:eastAsia="Times New Roman" w:hAnsi="Century Schoolbook"/>
          <w:color w:val="000000" w:themeColor="text1"/>
        </w:rPr>
        <w:t xml:space="preserve"> </w:t>
      </w:r>
      <w:r w:rsidR="00A71F4A">
        <w:rPr>
          <w:rFonts w:ascii="Century Schoolbook" w:eastAsia="Times New Roman" w:hAnsi="Century Schoolbook"/>
          <w:color w:val="000000" w:themeColor="text1"/>
        </w:rPr>
        <w:t xml:space="preserve">of Law </w:t>
      </w:r>
      <w:r w:rsidRPr="002A2C7E">
        <w:rPr>
          <w:rFonts w:ascii="Century Schoolbook" w:eastAsia="Times New Roman" w:hAnsi="Century Schoolbook"/>
          <w:color w:val="000000" w:themeColor="text1"/>
        </w:rPr>
        <w:t>may not be circulated outside of the competition or educational program for which it is to be employed. In no event may it be posted to a public website. Except insofar as it is inconsistent with the preceding two sentences, this work is licensed under the CC BY-NC-SA 4.0 International License.</w:t>
      </w:r>
    </w:p>
    <w:bookmarkEnd w:id="0"/>
    <w:p w14:paraId="5BB5FF1C" w14:textId="77777777" w:rsidR="00E10AB7" w:rsidRPr="002A2C7E" w:rsidRDefault="00E10AB7" w:rsidP="00AB0EC6">
      <w:pPr>
        <w:spacing w:after="0" w:line="240" w:lineRule="auto"/>
        <w:rPr>
          <w:rFonts w:ascii="Century Schoolbook" w:hAnsi="Century Schoolbook"/>
          <w:b/>
          <w:u w:val="single"/>
        </w:rPr>
      </w:pPr>
    </w:p>
    <w:p w14:paraId="7008CDA7" w14:textId="2B2F16E7" w:rsidR="00E10AB7" w:rsidRDefault="00415566" w:rsidP="007B1E98">
      <w:pPr>
        <w:spacing w:after="0" w:line="240" w:lineRule="auto"/>
        <w:jc w:val="center"/>
        <w:rPr>
          <w:rFonts w:ascii="Century Schoolbook" w:hAnsi="Century Schoolbook"/>
          <w:b/>
          <w:u w:val="single"/>
        </w:rPr>
      </w:pPr>
      <w:r>
        <w:rPr>
          <w:rFonts w:ascii="Century Schoolbook" w:hAnsi="Century Schoolbook"/>
          <w:b/>
          <w:u w:val="single"/>
        </w:rPr>
        <w:t>QUESTIONS PRESENTED</w:t>
      </w:r>
    </w:p>
    <w:p w14:paraId="0D48CCC2" w14:textId="77777777" w:rsidR="007B1E98" w:rsidRPr="002A2C7E" w:rsidRDefault="007B1E98" w:rsidP="00AB0EC6">
      <w:pPr>
        <w:spacing w:after="0" w:line="240" w:lineRule="auto"/>
        <w:jc w:val="center"/>
        <w:rPr>
          <w:rFonts w:ascii="Century Schoolbook" w:hAnsi="Century Schoolbook"/>
          <w:b/>
          <w:u w:val="single"/>
        </w:rPr>
      </w:pPr>
    </w:p>
    <w:p w14:paraId="1CC682DF" w14:textId="6CB6A91F" w:rsidR="00E10AB7" w:rsidRDefault="00E10AB7" w:rsidP="007B1E98">
      <w:pPr>
        <w:spacing w:after="0" w:line="240" w:lineRule="auto"/>
        <w:jc w:val="both"/>
        <w:rPr>
          <w:rFonts w:ascii="Century Schoolbook" w:hAnsi="Century Schoolbook"/>
        </w:rPr>
      </w:pPr>
      <w:r w:rsidRPr="00B8701E">
        <w:rPr>
          <w:rFonts w:ascii="Century Schoolbook" w:hAnsi="Century Schoolbook"/>
          <w:bCs/>
        </w:rPr>
        <w:t>(1)</w:t>
      </w:r>
      <w:r w:rsidRPr="002A2C7E">
        <w:rPr>
          <w:rFonts w:ascii="Century Schoolbook" w:hAnsi="Century Schoolbook"/>
        </w:rPr>
        <w:t xml:space="preserve"> </w:t>
      </w:r>
      <w:r w:rsidR="005142A9">
        <w:rPr>
          <w:rFonts w:ascii="Century Schoolbook" w:hAnsi="Century Schoolbook"/>
        </w:rPr>
        <w:t>Whether</w:t>
      </w:r>
      <w:r w:rsidRPr="002A2C7E">
        <w:rPr>
          <w:rFonts w:ascii="Century Schoolbook" w:hAnsi="Century Schoolbook"/>
        </w:rPr>
        <w:t xml:space="preserve"> trademark protection</w:t>
      </w:r>
      <w:r w:rsidR="005142A9">
        <w:rPr>
          <w:rFonts w:ascii="Century Schoolbook" w:hAnsi="Century Schoolbook"/>
        </w:rPr>
        <w:t xml:space="preserve"> can</w:t>
      </w:r>
      <w:r w:rsidRPr="002A2C7E">
        <w:rPr>
          <w:rFonts w:ascii="Century Schoolbook" w:hAnsi="Century Schoolbook"/>
        </w:rPr>
        <w:t xml:space="preserve"> subsist in visual characters in the public domain</w:t>
      </w:r>
      <w:r w:rsidR="00650AF8">
        <w:rPr>
          <w:rFonts w:ascii="Century Schoolbook" w:hAnsi="Century Schoolbook"/>
        </w:rPr>
        <w:t>.</w:t>
      </w:r>
    </w:p>
    <w:p w14:paraId="5AA48F05" w14:textId="77777777" w:rsidR="007B1E98" w:rsidRPr="002A2C7E" w:rsidRDefault="007B1E98" w:rsidP="00AB0EC6">
      <w:pPr>
        <w:spacing w:after="0" w:line="240" w:lineRule="auto"/>
        <w:jc w:val="both"/>
        <w:rPr>
          <w:rFonts w:ascii="Century Schoolbook" w:hAnsi="Century Schoolbook"/>
        </w:rPr>
      </w:pPr>
    </w:p>
    <w:p w14:paraId="06975A97" w14:textId="58E54F0D" w:rsidR="00E10AB7" w:rsidRDefault="00E10AB7" w:rsidP="007B1E98">
      <w:pPr>
        <w:spacing w:after="0" w:line="240" w:lineRule="auto"/>
        <w:jc w:val="both"/>
        <w:rPr>
          <w:rFonts w:ascii="Century Schoolbook" w:hAnsi="Century Schoolbook"/>
        </w:rPr>
      </w:pPr>
      <w:r w:rsidRPr="00B8701E">
        <w:rPr>
          <w:rFonts w:ascii="Century Schoolbook" w:hAnsi="Century Schoolbook"/>
          <w:bCs/>
        </w:rPr>
        <w:t>(2)</w:t>
      </w:r>
      <w:r w:rsidRPr="002A2C7E">
        <w:rPr>
          <w:rFonts w:ascii="Century Schoolbook" w:hAnsi="Century Schoolbook"/>
        </w:rPr>
        <w:t xml:space="preserve"> If so, </w:t>
      </w:r>
      <w:r w:rsidR="005142A9">
        <w:rPr>
          <w:rFonts w:ascii="Century Schoolbook" w:hAnsi="Century Schoolbook"/>
        </w:rPr>
        <w:t>whether</w:t>
      </w:r>
      <w:r w:rsidRPr="002A2C7E">
        <w:rPr>
          <w:rFonts w:ascii="Century Schoolbook" w:hAnsi="Century Schoolbook"/>
        </w:rPr>
        <w:t xml:space="preserve"> that protection extend to reproductions of the work featuring the public domain visual character</w:t>
      </w:r>
      <w:r w:rsidR="00650AF8">
        <w:rPr>
          <w:rFonts w:ascii="Century Schoolbook" w:hAnsi="Century Schoolbook"/>
        </w:rPr>
        <w:t>.</w:t>
      </w:r>
    </w:p>
    <w:p w14:paraId="14C31768" w14:textId="77777777" w:rsidR="007B1E98" w:rsidRPr="002A2C7E" w:rsidRDefault="007B1E98" w:rsidP="00AB0EC6">
      <w:pPr>
        <w:spacing w:after="0" w:line="240" w:lineRule="auto"/>
        <w:jc w:val="both"/>
        <w:rPr>
          <w:rFonts w:ascii="Century Schoolbook" w:hAnsi="Century Schoolbook"/>
        </w:rPr>
      </w:pPr>
    </w:p>
    <w:p w14:paraId="777B0175" w14:textId="488E5E9B" w:rsidR="00E10AB7" w:rsidRDefault="00415566" w:rsidP="007B1E98">
      <w:pPr>
        <w:spacing w:after="0" w:line="240" w:lineRule="auto"/>
        <w:jc w:val="center"/>
        <w:rPr>
          <w:rFonts w:ascii="Century Schoolbook" w:hAnsi="Century Schoolbook"/>
          <w:b/>
          <w:u w:val="single"/>
        </w:rPr>
      </w:pPr>
      <w:r>
        <w:rPr>
          <w:rFonts w:ascii="Century Schoolbook" w:hAnsi="Century Schoolbook"/>
          <w:b/>
          <w:u w:val="single"/>
        </w:rPr>
        <w:t>STATEMENT OF FACTS</w:t>
      </w:r>
    </w:p>
    <w:p w14:paraId="0AB6FE08" w14:textId="77777777" w:rsidR="007B1E98" w:rsidRPr="002A2C7E" w:rsidRDefault="007B1E98" w:rsidP="00AB0EC6">
      <w:pPr>
        <w:spacing w:after="0" w:line="240" w:lineRule="auto"/>
        <w:jc w:val="center"/>
        <w:rPr>
          <w:rFonts w:ascii="Century Schoolbook" w:hAnsi="Century Schoolbook"/>
          <w:b/>
          <w:u w:val="single"/>
        </w:rPr>
      </w:pPr>
    </w:p>
    <w:p w14:paraId="44F3E4F5" w14:textId="055F6BFC"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This case concerns a claim of trademark infringement by The Pilton Company (“Pilton”) against </w:t>
      </w:r>
      <w:proofErr w:type="spellStart"/>
      <w:r w:rsidRPr="002A2C7E">
        <w:rPr>
          <w:rFonts w:ascii="Century Schoolbook" w:hAnsi="Century Schoolbook"/>
        </w:rPr>
        <w:t>Dentop</w:t>
      </w:r>
      <w:proofErr w:type="spellEnd"/>
      <w:r w:rsidRPr="002A2C7E">
        <w:rPr>
          <w:rFonts w:ascii="Century Schoolbook" w:hAnsi="Century Schoolbook"/>
        </w:rPr>
        <w:t xml:space="preserve"> Studios (“</w:t>
      </w:r>
      <w:proofErr w:type="spellStart"/>
      <w:r w:rsidRPr="002A2C7E">
        <w:rPr>
          <w:rFonts w:ascii="Century Schoolbook" w:hAnsi="Century Schoolbook"/>
        </w:rPr>
        <w:t>Dentop</w:t>
      </w:r>
      <w:proofErr w:type="spellEnd"/>
      <w:r w:rsidRPr="002A2C7E">
        <w:rPr>
          <w:rFonts w:ascii="Century Schoolbook" w:hAnsi="Century Schoolbook"/>
        </w:rPr>
        <w:t xml:space="preserve">”). </w:t>
      </w:r>
      <w:r w:rsidR="00562307" w:rsidRPr="002A2C7E">
        <w:rPr>
          <w:rFonts w:ascii="Century Schoolbook" w:hAnsi="Century Schoolbook"/>
        </w:rPr>
        <w:t xml:space="preserve">Pilton was founded in 1920 and made $63.4 billion in revenue in 2018, while </w:t>
      </w:r>
      <w:proofErr w:type="spellStart"/>
      <w:r w:rsidR="00562307" w:rsidRPr="002A2C7E">
        <w:rPr>
          <w:rFonts w:ascii="Century Schoolbook" w:hAnsi="Century Schoolbook"/>
        </w:rPr>
        <w:t>Dentop</w:t>
      </w:r>
      <w:proofErr w:type="spellEnd"/>
      <w:r w:rsidR="00562307" w:rsidRPr="002A2C7E">
        <w:rPr>
          <w:rFonts w:ascii="Century Schoolbook" w:hAnsi="Century Schoolbook"/>
        </w:rPr>
        <w:t xml:space="preserve"> was founded in 2009 and made only $300 million in revenue in the same year. </w:t>
      </w:r>
      <w:r w:rsidRPr="002A2C7E">
        <w:rPr>
          <w:rFonts w:ascii="Century Schoolbook" w:hAnsi="Century Schoolbook"/>
        </w:rPr>
        <w:t xml:space="preserve">Both companies are incorporated in the state of </w:t>
      </w:r>
      <w:proofErr w:type="spellStart"/>
      <w:r w:rsidRPr="002A2C7E">
        <w:rPr>
          <w:rFonts w:ascii="Century Schoolbook" w:hAnsi="Century Schoolbook"/>
        </w:rPr>
        <w:t>Dreamvill</w:t>
      </w:r>
      <w:r w:rsidR="00562307">
        <w:rPr>
          <w:rFonts w:ascii="Century Schoolbook" w:hAnsi="Century Schoolbook"/>
        </w:rPr>
        <w:t>e</w:t>
      </w:r>
      <w:proofErr w:type="spellEnd"/>
      <w:r w:rsidR="00562307">
        <w:rPr>
          <w:rFonts w:ascii="Century Schoolbook" w:hAnsi="Century Schoolbook"/>
        </w:rPr>
        <w:t>.</w:t>
      </w:r>
    </w:p>
    <w:p w14:paraId="2F6F34EE" w14:textId="77777777" w:rsidR="007B1E98" w:rsidRPr="002A2C7E" w:rsidRDefault="007B1E98" w:rsidP="00AB0EC6">
      <w:pPr>
        <w:spacing w:after="0" w:line="240" w:lineRule="auto"/>
        <w:ind w:firstLine="720"/>
        <w:jc w:val="both"/>
        <w:rPr>
          <w:rFonts w:ascii="Century Schoolbook" w:hAnsi="Century Schoolbook"/>
        </w:rPr>
      </w:pPr>
    </w:p>
    <w:p w14:paraId="5BA363CB" w14:textId="4B092017"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Pilton </w:t>
      </w:r>
      <w:r w:rsidR="003740A9">
        <w:rPr>
          <w:rFonts w:ascii="Century Schoolbook" w:hAnsi="Century Schoolbook"/>
        </w:rPr>
        <w:t>debuted to audiences</w:t>
      </w:r>
      <w:r w:rsidRPr="002A2C7E">
        <w:rPr>
          <w:rFonts w:ascii="Century Schoolbook" w:hAnsi="Century Schoolbook"/>
        </w:rPr>
        <w:t xml:space="preserve"> in 1923 when it published the animated short</w:t>
      </w:r>
      <w:r w:rsidR="007B1E98">
        <w:rPr>
          <w:rFonts w:ascii="Century Schoolbook" w:hAnsi="Century Schoolbook"/>
        </w:rPr>
        <w:t xml:space="preserve"> film</w:t>
      </w:r>
      <w:r w:rsidRPr="002A2C7E">
        <w:rPr>
          <w:rFonts w:ascii="Century Schoolbook" w:hAnsi="Century Schoolbook"/>
        </w:rPr>
        <w:t>, “Racecar Richard,” the debut appearance of Ricky the Raccoon</w:t>
      </w:r>
      <w:r w:rsidR="00562307">
        <w:rPr>
          <w:rFonts w:ascii="Century Schoolbook" w:hAnsi="Century Schoolbook"/>
        </w:rPr>
        <w:t xml:space="preserve"> (“Ricky”)</w:t>
      </w:r>
      <w:r w:rsidRPr="002A2C7E">
        <w:rPr>
          <w:rFonts w:ascii="Century Schoolbook" w:hAnsi="Century Schoolbook"/>
        </w:rPr>
        <w:t xml:space="preserve">, one of the most famous animated characters of all time and </w:t>
      </w:r>
      <w:r w:rsidR="00562307">
        <w:rPr>
          <w:rFonts w:ascii="Century Schoolbook" w:hAnsi="Century Schoolbook"/>
        </w:rPr>
        <w:t>which</w:t>
      </w:r>
      <w:r w:rsidR="00562307" w:rsidRPr="002A2C7E">
        <w:rPr>
          <w:rFonts w:ascii="Century Schoolbook" w:hAnsi="Century Schoolbook"/>
        </w:rPr>
        <w:t xml:space="preserve"> </w:t>
      </w:r>
      <w:r w:rsidRPr="002A2C7E">
        <w:rPr>
          <w:rFonts w:ascii="Century Schoolbook" w:hAnsi="Century Schoolbook"/>
        </w:rPr>
        <w:t>has become the internationally recognizable mascot of Pilton. Although Ricky has since undergone changes to his appearance, name</w:t>
      </w:r>
      <w:r w:rsidR="004754F7">
        <w:rPr>
          <w:rFonts w:ascii="Century Schoolbook" w:hAnsi="Century Schoolbook"/>
        </w:rPr>
        <w:t>,</w:t>
      </w:r>
      <w:r w:rsidRPr="002A2C7E">
        <w:rPr>
          <w:rFonts w:ascii="Century Schoolbook" w:hAnsi="Century Schoolbook"/>
        </w:rPr>
        <w:t xml:space="preserve"> and backstory, the parties do not dispute that the short was his first appearance.</w:t>
      </w:r>
    </w:p>
    <w:p w14:paraId="55E5F870" w14:textId="77777777" w:rsidR="007B1E98" w:rsidRPr="002A2C7E" w:rsidRDefault="007B1E98" w:rsidP="003740A9">
      <w:pPr>
        <w:spacing w:after="0" w:line="240" w:lineRule="auto"/>
        <w:ind w:firstLine="720"/>
        <w:jc w:val="both"/>
        <w:rPr>
          <w:rFonts w:ascii="Century Schoolbook" w:hAnsi="Century Schoolbook"/>
        </w:rPr>
      </w:pPr>
    </w:p>
    <w:p w14:paraId="263845F4" w14:textId="63D55788" w:rsidR="00E10AB7" w:rsidRDefault="00562307" w:rsidP="007B1E98">
      <w:pPr>
        <w:spacing w:after="0" w:line="240" w:lineRule="auto"/>
        <w:ind w:firstLine="720"/>
        <w:jc w:val="both"/>
        <w:rPr>
          <w:rFonts w:ascii="Century Schoolbook" w:hAnsi="Century Schoolbook"/>
        </w:rPr>
      </w:pPr>
      <w:r>
        <w:rPr>
          <w:rFonts w:ascii="Century Schoolbook" w:hAnsi="Century Schoolbook"/>
        </w:rPr>
        <w:t>Celebrating</w:t>
      </w:r>
      <w:r w:rsidR="00E10AB7" w:rsidRPr="002A2C7E">
        <w:rPr>
          <w:rFonts w:ascii="Century Schoolbook" w:hAnsi="Century Schoolbook"/>
        </w:rPr>
        <w:t xml:space="preserve"> Ricky’s 95</w:t>
      </w:r>
      <w:r w:rsidR="00E10AB7" w:rsidRPr="003740A9">
        <w:rPr>
          <w:rFonts w:ascii="Century Schoolbook" w:hAnsi="Century Schoolbook"/>
        </w:rPr>
        <w:t>th</w:t>
      </w:r>
      <w:r w:rsidR="00E10AB7" w:rsidRPr="002A2C7E">
        <w:rPr>
          <w:rFonts w:ascii="Century Schoolbook" w:hAnsi="Century Schoolbook"/>
        </w:rPr>
        <w:t xml:space="preserve"> birthday</w:t>
      </w:r>
      <w:r>
        <w:rPr>
          <w:rFonts w:ascii="Century Schoolbook" w:hAnsi="Century Schoolbook"/>
        </w:rPr>
        <w:t xml:space="preserve"> in 2018</w:t>
      </w:r>
      <w:r w:rsidR="00E10AB7" w:rsidRPr="002A2C7E">
        <w:rPr>
          <w:rFonts w:ascii="Century Schoolbook" w:hAnsi="Century Schoolbook"/>
        </w:rPr>
        <w:t>, Pilton undertook a marketing blitz to revitalize “Racecar Richard.” This included merchandising and playing the short in theaters alongside other classic Pilton shorts. Further</w:t>
      </w:r>
      <w:r>
        <w:rPr>
          <w:rFonts w:ascii="Century Schoolbook" w:hAnsi="Century Schoolbook"/>
        </w:rPr>
        <w:t>more</w:t>
      </w:r>
      <w:r w:rsidR="00E10AB7" w:rsidRPr="002A2C7E">
        <w:rPr>
          <w:rFonts w:ascii="Century Schoolbook" w:hAnsi="Century Schoolbook"/>
        </w:rPr>
        <w:t xml:space="preserve">, Pilton’s animated logo </w:t>
      </w:r>
      <w:r w:rsidR="004754F7">
        <w:rPr>
          <w:rFonts w:ascii="Century Schoolbook" w:hAnsi="Century Schoolbook"/>
        </w:rPr>
        <w:t>which</w:t>
      </w:r>
      <w:r w:rsidR="00E10AB7" w:rsidRPr="002A2C7E">
        <w:rPr>
          <w:rFonts w:ascii="Century Schoolbook" w:hAnsi="Century Schoolbook"/>
        </w:rPr>
        <w:t xml:space="preserve"> is played at the start of its theatrical releases</w:t>
      </w:r>
      <w:r w:rsidR="004754F7">
        <w:rPr>
          <w:rFonts w:ascii="Century Schoolbook" w:hAnsi="Century Schoolbook"/>
        </w:rPr>
        <w:t>,</w:t>
      </w:r>
      <w:r w:rsidR="00E10AB7" w:rsidRPr="002A2C7E">
        <w:rPr>
          <w:rFonts w:ascii="Century Schoolbook" w:hAnsi="Century Schoolbook"/>
        </w:rPr>
        <w:t xml:space="preserve"> now prominently features a sequence straight from “Racecar Richard.”</w:t>
      </w:r>
    </w:p>
    <w:p w14:paraId="478B872C" w14:textId="77777777" w:rsidR="007B1E98" w:rsidRPr="002A2C7E" w:rsidRDefault="007B1E98" w:rsidP="003740A9">
      <w:pPr>
        <w:spacing w:after="0" w:line="240" w:lineRule="auto"/>
        <w:ind w:firstLine="720"/>
        <w:jc w:val="both"/>
        <w:rPr>
          <w:rFonts w:ascii="Century Schoolbook" w:hAnsi="Century Schoolbook"/>
        </w:rPr>
      </w:pPr>
    </w:p>
    <w:p w14:paraId="57E067FF" w14:textId="287C858B"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“Racecar Richard” entered the public domain on January 1, 2019</w:t>
      </w:r>
      <w:r w:rsidR="009B52E4">
        <w:rPr>
          <w:rFonts w:ascii="Century Schoolbook" w:hAnsi="Century Schoolbook"/>
        </w:rPr>
        <w:t>,</w:t>
      </w:r>
      <w:r w:rsidR="003740A9">
        <w:rPr>
          <w:rFonts w:ascii="Century Schoolbook" w:hAnsi="Century Schoolbook"/>
        </w:rPr>
        <w:t xml:space="preserve"> when its copyright expired</w:t>
      </w:r>
      <w:r w:rsidRPr="002A2C7E">
        <w:rPr>
          <w:rFonts w:ascii="Century Schoolbook" w:hAnsi="Century Schoolbook"/>
        </w:rPr>
        <w:t xml:space="preserve">. </w:t>
      </w:r>
      <w:proofErr w:type="spellStart"/>
      <w:r w:rsidRPr="002A2C7E">
        <w:rPr>
          <w:rFonts w:ascii="Century Schoolbook" w:hAnsi="Century Schoolbook"/>
        </w:rPr>
        <w:t>Dentop</w:t>
      </w:r>
      <w:proofErr w:type="spellEnd"/>
      <w:r w:rsidRPr="002A2C7E">
        <w:rPr>
          <w:rFonts w:ascii="Century Schoolbook" w:hAnsi="Century Schoolbook"/>
        </w:rPr>
        <w:t xml:space="preserve"> seized this opportunity and created a promotional short for their upcoming movie, “</w:t>
      </w:r>
      <w:proofErr w:type="spellStart"/>
      <w:r w:rsidRPr="002A2C7E">
        <w:rPr>
          <w:rFonts w:ascii="Century Schoolbook" w:hAnsi="Century Schoolbook"/>
        </w:rPr>
        <w:t>Macko</w:t>
      </w:r>
      <w:proofErr w:type="spellEnd"/>
      <w:r w:rsidRPr="002A2C7E">
        <w:rPr>
          <w:rFonts w:ascii="Century Schoolbook" w:hAnsi="Century Schoolbook"/>
        </w:rPr>
        <w:t xml:space="preserve"> Saves the </w:t>
      </w:r>
      <w:proofErr w:type="spellStart"/>
      <w:r w:rsidRPr="002A2C7E">
        <w:rPr>
          <w:rFonts w:ascii="Century Schoolbook" w:hAnsi="Century Schoolbook"/>
        </w:rPr>
        <w:t>Aniverse</w:t>
      </w:r>
      <w:proofErr w:type="spellEnd"/>
      <w:r w:rsidRPr="002A2C7E">
        <w:rPr>
          <w:rFonts w:ascii="Century Schoolbook" w:hAnsi="Century Schoolbook"/>
        </w:rPr>
        <w:t xml:space="preserve">,” that featured the titular character </w:t>
      </w:r>
      <w:proofErr w:type="spellStart"/>
      <w:r w:rsidRPr="002A2C7E">
        <w:rPr>
          <w:rFonts w:ascii="Century Schoolbook" w:hAnsi="Century Schoolbook"/>
        </w:rPr>
        <w:t>Macko</w:t>
      </w:r>
      <w:proofErr w:type="spellEnd"/>
      <w:r w:rsidRPr="002A2C7E">
        <w:rPr>
          <w:rFonts w:ascii="Century Schoolbook" w:hAnsi="Century Schoolbook"/>
        </w:rPr>
        <w:t xml:space="preserve"> visiting “Racecar Richard.” </w:t>
      </w:r>
      <w:proofErr w:type="spellStart"/>
      <w:r w:rsidRPr="002A2C7E">
        <w:rPr>
          <w:rFonts w:ascii="Century Schoolbook" w:hAnsi="Century Schoolbook"/>
        </w:rPr>
        <w:t>Dentop’s</w:t>
      </w:r>
      <w:proofErr w:type="spellEnd"/>
      <w:r w:rsidRPr="002A2C7E">
        <w:rPr>
          <w:rFonts w:ascii="Century Schoolbook" w:hAnsi="Century Schoolbook"/>
        </w:rPr>
        <w:t xml:space="preserve"> short consists mostly of the original footage</w:t>
      </w:r>
      <w:r w:rsidR="00AD24F1">
        <w:rPr>
          <w:rFonts w:ascii="Century Schoolbook" w:hAnsi="Century Schoolbook"/>
        </w:rPr>
        <w:t xml:space="preserve"> from “Racecar Richard,”</w:t>
      </w:r>
      <w:r w:rsidRPr="002A2C7E">
        <w:rPr>
          <w:rFonts w:ascii="Century Schoolbook" w:hAnsi="Century Schoolbook"/>
        </w:rPr>
        <w:t xml:space="preserve"> redrawn in </w:t>
      </w:r>
      <w:proofErr w:type="gramStart"/>
      <w:r w:rsidRPr="002A2C7E">
        <w:rPr>
          <w:rFonts w:ascii="Century Schoolbook" w:hAnsi="Century Schoolbook"/>
        </w:rPr>
        <w:t>high-definition</w:t>
      </w:r>
      <w:proofErr w:type="gramEnd"/>
      <w:r w:rsidRPr="002A2C7E">
        <w:rPr>
          <w:rFonts w:ascii="Century Schoolbook" w:hAnsi="Century Schoolbook"/>
        </w:rPr>
        <w:t xml:space="preserve">, with </w:t>
      </w:r>
      <w:proofErr w:type="spellStart"/>
      <w:r w:rsidRPr="002A2C7E">
        <w:rPr>
          <w:rFonts w:ascii="Century Schoolbook" w:hAnsi="Century Schoolbook"/>
        </w:rPr>
        <w:t>Macko</w:t>
      </w:r>
      <w:proofErr w:type="spellEnd"/>
      <w:r w:rsidRPr="002A2C7E">
        <w:rPr>
          <w:rFonts w:ascii="Century Schoolbook" w:hAnsi="Century Schoolbook"/>
        </w:rPr>
        <w:t xml:space="preserve"> and another of </w:t>
      </w:r>
      <w:proofErr w:type="spellStart"/>
      <w:r w:rsidRPr="002A2C7E">
        <w:rPr>
          <w:rFonts w:ascii="Century Schoolbook" w:hAnsi="Century Schoolbook"/>
        </w:rPr>
        <w:t>Dentop’s</w:t>
      </w:r>
      <w:proofErr w:type="spellEnd"/>
      <w:r w:rsidRPr="002A2C7E">
        <w:rPr>
          <w:rFonts w:ascii="Century Schoolbook" w:hAnsi="Century Schoolbook"/>
        </w:rPr>
        <w:t xml:space="preserve"> characters, Esquire Evil, fighting in the background of the cartoon. There is a segment where </w:t>
      </w:r>
      <w:proofErr w:type="spellStart"/>
      <w:r w:rsidRPr="002A2C7E">
        <w:rPr>
          <w:rFonts w:ascii="Century Schoolbook" w:hAnsi="Century Schoolbook"/>
        </w:rPr>
        <w:t>Macko</w:t>
      </w:r>
      <w:proofErr w:type="spellEnd"/>
      <w:r w:rsidRPr="002A2C7E">
        <w:rPr>
          <w:rFonts w:ascii="Century Schoolbook" w:hAnsi="Century Schoolbook"/>
        </w:rPr>
        <w:t xml:space="preserve"> directly interacts with Ricky the Raccoon. Ricky the Raccoon’s appearance was unaltered, but </w:t>
      </w:r>
      <w:proofErr w:type="spellStart"/>
      <w:r w:rsidRPr="002A2C7E">
        <w:rPr>
          <w:rFonts w:ascii="Century Schoolbook" w:hAnsi="Century Schoolbook"/>
        </w:rPr>
        <w:t>Macko</w:t>
      </w:r>
      <w:proofErr w:type="spellEnd"/>
      <w:r w:rsidRPr="002A2C7E">
        <w:rPr>
          <w:rFonts w:ascii="Century Schoolbook" w:hAnsi="Century Schoolbook"/>
        </w:rPr>
        <w:t xml:space="preserve"> did make a reference to “saving [Ricky’s] future.” The short ends with a screen advertising “</w:t>
      </w:r>
      <w:proofErr w:type="spellStart"/>
      <w:r w:rsidRPr="002A2C7E">
        <w:rPr>
          <w:rFonts w:ascii="Century Schoolbook" w:hAnsi="Century Schoolbook"/>
        </w:rPr>
        <w:t>Macko</w:t>
      </w:r>
      <w:proofErr w:type="spellEnd"/>
      <w:r w:rsidRPr="002A2C7E">
        <w:rPr>
          <w:rFonts w:ascii="Century Schoolbook" w:hAnsi="Century Schoolbook"/>
        </w:rPr>
        <w:t xml:space="preserve"> </w:t>
      </w:r>
      <w:proofErr w:type="gramStart"/>
      <w:r w:rsidRPr="002A2C7E">
        <w:rPr>
          <w:rFonts w:ascii="Century Schoolbook" w:hAnsi="Century Schoolbook"/>
        </w:rPr>
        <w:t>Saves</w:t>
      </w:r>
      <w:proofErr w:type="gramEnd"/>
      <w:r w:rsidRPr="002A2C7E">
        <w:rPr>
          <w:rFonts w:ascii="Century Schoolbook" w:hAnsi="Century Schoolbook"/>
        </w:rPr>
        <w:t xml:space="preserve"> the </w:t>
      </w:r>
      <w:proofErr w:type="spellStart"/>
      <w:r w:rsidRPr="002A2C7E">
        <w:rPr>
          <w:rFonts w:ascii="Century Schoolbook" w:hAnsi="Century Schoolbook"/>
        </w:rPr>
        <w:t>Aniverse</w:t>
      </w:r>
      <w:proofErr w:type="spellEnd"/>
      <w:r w:rsidRPr="002A2C7E">
        <w:rPr>
          <w:rFonts w:ascii="Century Schoolbook" w:hAnsi="Century Schoolbook"/>
        </w:rPr>
        <w:t>.”</w:t>
      </w:r>
    </w:p>
    <w:p w14:paraId="7188978D" w14:textId="77777777" w:rsidR="007B1E98" w:rsidRPr="002A2C7E" w:rsidRDefault="007B1E98" w:rsidP="003740A9">
      <w:pPr>
        <w:spacing w:after="0" w:line="240" w:lineRule="auto"/>
        <w:ind w:firstLine="720"/>
        <w:jc w:val="both"/>
        <w:rPr>
          <w:rFonts w:ascii="Century Schoolbook" w:hAnsi="Century Schoolbook"/>
        </w:rPr>
      </w:pPr>
    </w:p>
    <w:p w14:paraId="570290FB" w14:textId="0B6B5122" w:rsidR="00E10AB7" w:rsidRDefault="00E10AB7" w:rsidP="007B1E98">
      <w:pPr>
        <w:spacing w:after="0" w:line="240" w:lineRule="auto"/>
        <w:ind w:firstLine="720"/>
        <w:jc w:val="both"/>
        <w:rPr>
          <w:rFonts w:ascii="Century Schoolbook" w:hAnsi="Century Schoolbook"/>
        </w:rPr>
      </w:pPr>
      <w:proofErr w:type="spellStart"/>
      <w:r w:rsidRPr="002A2C7E">
        <w:rPr>
          <w:rFonts w:ascii="Century Schoolbook" w:hAnsi="Century Schoolbook"/>
        </w:rPr>
        <w:t>Dentop’s</w:t>
      </w:r>
      <w:proofErr w:type="spellEnd"/>
      <w:r w:rsidRPr="002A2C7E">
        <w:rPr>
          <w:rFonts w:ascii="Century Schoolbook" w:hAnsi="Century Schoolbook"/>
        </w:rPr>
        <w:t xml:space="preserve"> clip was not included in its final film</w:t>
      </w:r>
      <w:r w:rsidR="00AD24F1">
        <w:rPr>
          <w:rFonts w:ascii="Century Schoolbook" w:hAnsi="Century Schoolbook"/>
        </w:rPr>
        <w:t xml:space="preserve"> version of “</w:t>
      </w:r>
      <w:proofErr w:type="spellStart"/>
      <w:r w:rsidR="00AD24F1">
        <w:rPr>
          <w:rFonts w:ascii="Century Schoolbook" w:hAnsi="Century Schoolbook"/>
        </w:rPr>
        <w:t>Macko</w:t>
      </w:r>
      <w:proofErr w:type="spellEnd"/>
      <w:r w:rsidR="00AD24F1">
        <w:rPr>
          <w:rFonts w:ascii="Century Schoolbook" w:hAnsi="Century Schoolbook"/>
        </w:rPr>
        <w:t xml:space="preserve"> Saves the </w:t>
      </w:r>
      <w:proofErr w:type="spellStart"/>
      <w:r w:rsidR="00AD24F1">
        <w:rPr>
          <w:rFonts w:ascii="Century Schoolbook" w:hAnsi="Century Schoolbook"/>
        </w:rPr>
        <w:t>Aniverse</w:t>
      </w:r>
      <w:proofErr w:type="spellEnd"/>
      <w:r w:rsidRPr="002A2C7E">
        <w:rPr>
          <w:rFonts w:ascii="Century Schoolbook" w:hAnsi="Century Schoolbook"/>
        </w:rPr>
        <w:t>.</w:t>
      </w:r>
      <w:r w:rsidR="00AD24F1">
        <w:rPr>
          <w:rFonts w:ascii="Century Schoolbook" w:hAnsi="Century Schoolbook"/>
        </w:rPr>
        <w:t>”</w:t>
      </w:r>
      <w:r w:rsidRPr="002A2C7E">
        <w:rPr>
          <w:rFonts w:ascii="Century Schoolbook" w:hAnsi="Century Schoolbook"/>
        </w:rPr>
        <w:t xml:space="preserve"> However, it was released online on YouTube, where it received over 35 million views by the time the district court of </w:t>
      </w:r>
      <w:proofErr w:type="spellStart"/>
      <w:r w:rsidRPr="002A2C7E">
        <w:rPr>
          <w:rFonts w:ascii="Century Schoolbook" w:hAnsi="Century Schoolbook"/>
        </w:rPr>
        <w:t>Dreamville</w:t>
      </w:r>
      <w:proofErr w:type="spellEnd"/>
      <w:r w:rsidRPr="002A2C7E">
        <w:rPr>
          <w:rFonts w:ascii="Century Schoolbook" w:hAnsi="Century Schoolbook"/>
        </w:rPr>
        <w:t xml:space="preserve"> enjoined </w:t>
      </w:r>
      <w:proofErr w:type="spellStart"/>
      <w:r w:rsidRPr="002A2C7E">
        <w:rPr>
          <w:rFonts w:ascii="Century Schoolbook" w:hAnsi="Century Schoolbook"/>
        </w:rPr>
        <w:t>Dentop</w:t>
      </w:r>
      <w:proofErr w:type="spellEnd"/>
      <w:r w:rsidR="003740A9">
        <w:rPr>
          <w:rFonts w:ascii="Century Schoolbook" w:hAnsi="Century Schoolbook"/>
        </w:rPr>
        <w:t xml:space="preserve"> from </w:t>
      </w:r>
      <w:r w:rsidR="003740A9">
        <w:rPr>
          <w:rFonts w:ascii="Century Schoolbook" w:hAnsi="Century Schoolbook"/>
        </w:rPr>
        <w:lastRenderedPageBreak/>
        <w:t>distributing these clips</w:t>
      </w:r>
      <w:r w:rsidRPr="002A2C7E">
        <w:rPr>
          <w:rFonts w:ascii="Century Schoolbook" w:hAnsi="Century Schoolbook"/>
        </w:rPr>
        <w:t xml:space="preserve">. </w:t>
      </w:r>
      <w:proofErr w:type="spellStart"/>
      <w:r w:rsidRPr="002A2C7E">
        <w:rPr>
          <w:rFonts w:ascii="Century Schoolbook" w:hAnsi="Century Schoolbook"/>
        </w:rPr>
        <w:t>Dentop</w:t>
      </w:r>
      <w:proofErr w:type="spellEnd"/>
      <w:r w:rsidRPr="002A2C7E">
        <w:rPr>
          <w:rFonts w:ascii="Century Schoolbook" w:hAnsi="Century Schoolbook"/>
        </w:rPr>
        <w:t xml:space="preserve"> also cut its short into several shorter clips, from five</w:t>
      </w:r>
      <w:r w:rsidR="004754F7">
        <w:rPr>
          <w:rFonts w:ascii="Century Schoolbook" w:hAnsi="Century Schoolbook"/>
        </w:rPr>
        <w:t>-</w:t>
      </w:r>
      <w:r w:rsidRPr="002A2C7E">
        <w:rPr>
          <w:rFonts w:ascii="Century Schoolbook" w:hAnsi="Century Schoolbook"/>
        </w:rPr>
        <w:t>seconds to one-minute long</w:t>
      </w:r>
      <w:r w:rsidR="00155318">
        <w:rPr>
          <w:rFonts w:ascii="Century Schoolbook" w:hAnsi="Century Schoolbook"/>
        </w:rPr>
        <w:t xml:space="preserve"> clips</w:t>
      </w:r>
      <w:r w:rsidRPr="002A2C7E">
        <w:rPr>
          <w:rFonts w:ascii="Century Schoolbook" w:hAnsi="Century Schoolbook"/>
        </w:rPr>
        <w:t>, that it distributed through other channels such as Facebook, Instagram</w:t>
      </w:r>
      <w:r w:rsidR="004754F7">
        <w:rPr>
          <w:rFonts w:ascii="Century Schoolbook" w:hAnsi="Century Schoolbook"/>
        </w:rPr>
        <w:t>,</w:t>
      </w:r>
      <w:r w:rsidRPr="002A2C7E">
        <w:rPr>
          <w:rFonts w:ascii="Century Schoolbook" w:hAnsi="Century Schoolbook"/>
        </w:rPr>
        <w:t xml:space="preserve"> and broadcast television. These truncated shorts were seen over 27 million times by the time of the injunction.</w:t>
      </w:r>
    </w:p>
    <w:p w14:paraId="1F8A20AA" w14:textId="77777777" w:rsidR="007B1E98" w:rsidRPr="002A2C7E" w:rsidRDefault="007B1E98" w:rsidP="003740A9">
      <w:pPr>
        <w:spacing w:after="0" w:line="240" w:lineRule="auto"/>
        <w:ind w:firstLine="720"/>
        <w:jc w:val="both"/>
        <w:rPr>
          <w:rFonts w:ascii="Century Schoolbook" w:hAnsi="Century Schoolbook"/>
        </w:rPr>
      </w:pPr>
    </w:p>
    <w:p w14:paraId="1880C3E1" w14:textId="24798B29"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Pilton sued under both copyright </w:t>
      </w:r>
      <w:r w:rsidR="003740A9">
        <w:rPr>
          <w:rFonts w:ascii="Century Schoolbook" w:hAnsi="Century Schoolbook"/>
        </w:rPr>
        <w:t xml:space="preserve">infringement </w:t>
      </w:r>
      <w:r w:rsidRPr="002A2C7E">
        <w:rPr>
          <w:rFonts w:ascii="Century Schoolbook" w:hAnsi="Century Schoolbook"/>
        </w:rPr>
        <w:t>and trademark</w:t>
      </w:r>
      <w:r w:rsidR="003740A9">
        <w:rPr>
          <w:rFonts w:ascii="Century Schoolbook" w:hAnsi="Century Schoolbook"/>
        </w:rPr>
        <w:t xml:space="preserve"> infringement</w:t>
      </w:r>
      <w:r w:rsidRPr="002A2C7E">
        <w:rPr>
          <w:rFonts w:ascii="Century Schoolbook" w:hAnsi="Century Schoolbook"/>
        </w:rPr>
        <w:t xml:space="preserve">, although it did not allege any </w:t>
      </w:r>
      <w:r w:rsidR="003740A9">
        <w:rPr>
          <w:rFonts w:ascii="Century Schoolbook" w:hAnsi="Century Schoolbook"/>
        </w:rPr>
        <w:t xml:space="preserve">trademark </w:t>
      </w:r>
      <w:r w:rsidRPr="002A2C7E">
        <w:rPr>
          <w:rFonts w:ascii="Century Schoolbook" w:hAnsi="Century Schoolbook"/>
        </w:rPr>
        <w:t xml:space="preserve">“dilution” injuries under 15 U.S.C. § 1125(5). </w:t>
      </w:r>
      <w:r w:rsidR="00155318">
        <w:rPr>
          <w:rFonts w:ascii="Century Schoolbook" w:hAnsi="Century Schoolbook"/>
        </w:rPr>
        <w:t>Originally, t</w:t>
      </w:r>
      <w:r w:rsidRPr="002A2C7E">
        <w:rPr>
          <w:rFonts w:ascii="Century Schoolbook" w:hAnsi="Century Schoolbook"/>
        </w:rPr>
        <w:t xml:space="preserve">he </w:t>
      </w:r>
      <w:r w:rsidR="00155318">
        <w:rPr>
          <w:rFonts w:ascii="Century Schoolbook" w:hAnsi="Century Schoolbook"/>
        </w:rPr>
        <w:t xml:space="preserve">basis for the </w:t>
      </w:r>
      <w:r w:rsidRPr="002A2C7E">
        <w:rPr>
          <w:rFonts w:ascii="Century Schoolbook" w:hAnsi="Century Schoolbook"/>
        </w:rPr>
        <w:t xml:space="preserve">copyright </w:t>
      </w:r>
      <w:r w:rsidR="00155318">
        <w:rPr>
          <w:rFonts w:ascii="Century Schoolbook" w:hAnsi="Century Schoolbook"/>
        </w:rPr>
        <w:t>was</w:t>
      </w:r>
      <w:r w:rsidRPr="002A2C7E">
        <w:rPr>
          <w:rFonts w:ascii="Century Schoolbook" w:hAnsi="Century Schoolbook"/>
        </w:rPr>
        <w:t xml:space="preserve"> that Pilton still owned the copyright for the more recent depictions of Ricky the Raccoon. The District Court of the District of </w:t>
      </w:r>
      <w:proofErr w:type="spellStart"/>
      <w:r w:rsidRPr="002A2C7E">
        <w:rPr>
          <w:rFonts w:ascii="Century Schoolbook" w:hAnsi="Century Schoolbook"/>
        </w:rPr>
        <w:t>Dreamville</w:t>
      </w:r>
      <w:proofErr w:type="spellEnd"/>
      <w:r w:rsidRPr="002A2C7E">
        <w:rPr>
          <w:rFonts w:ascii="Century Schoolbook" w:hAnsi="Century Schoolbook"/>
        </w:rPr>
        <w:t xml:space="preserve"> dismissed this claim pursuant to </w:t>
      </w:r>
      <w:r w:rsidR="003740A9">
        <w:rPr>
          <w:rFonts w:ascii="Century Schoolbook" w:hAnsi="Century Schoolbook"/>
        </w:rPr>
        <w:t xml:space="preserve">the Federal Rule of Civil Procedure </w:t>
      </w:r>
      <w:r w:rsidRPr="002A2C7E">
        <w:rPr>
          <w:rFonts w:ascii="Century Schoolbook" w:hAnsi="Century Schoolbook"/>
        </w:rPr>
        <w:t>12(b)(6), holding that the copyright arising from a newer depiction of a character cannot serve as the basis for copyright infringement of a public domain work featuring said character.</w:t>
      </w:r>
    </w:p>
    <w:p w14:paraId="7464DB68" w14:textId="77777777" w:rsidR="007B1E98" w:rsidRPr="002A2C7E" w:rsidRDefault="007B1E98" w:rsidP="007218F6">
      <w:pPr>
        <w:spacing w:after="0" w:line="240" w:lineRule="auto"/>
        <w:ind w:firstLine="720"/>
        <w:jc w:val="both"/>
        <w:rPr>
          <w:rFonts w:ascii="Century Schoolbook" w:hAnsi="Century Schoolbook"/>
        </w:rPr>
      </w:pPr>
    </w:p>
    <w:p w14:paraId="1EE74849" w14:textId="4C1BDCA5"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 The trademark claim, however, was allowed to go forward. The district court rejected </w:t>
      </w:r>
      <w:proofErr w:type="spellStart"/>
      <w:r w:rsidRPr="002A2C7E">
        <w:rPr>
          <w:rFonts w:ascii="Century Schoolbook" w:hAnsi="Century Schoolbook"/>
        </w:rPr>
        <w:t>Dentop’s</w:t>
      </w:r>
      <w:proofErr w:type="spellEnd"/>
      <w:r w:rsidRPr="002A2C7E">
        <w:rPr>
          <w:rFonts w:ascii="Century Schoolbook" w:hAnsi="Century Schoolbook"/>
        </w:rPr>
        <w:t xml:space="preserve"> original argument that </w:t>
      </w:r>
      <w:proofErr w:type="spellStart"/>
      <w:r w:rsidRPr="002A2C7E">
        <w:rPr>
          <w:rFonts w:ascii="Century Schoolbook" w:hAnsi="Century Schoolbook"/>
          <w:i/>
        </w:rPr>
        <w:t>Dastar</w:t>
      </w:r>
      <w:proofErr w:type="spellEnd"/>
      <w:r w:rsidRPr="002A2C7E">
        <w:rPr>
          <w:rFonts w:ascii="Century Schoolbook" w:hAnsi="Century Schoolbook"/>
          <w:i/>
        </w:rPr>
        <w:t xml:space="preserve"> Corp. v. Twentieth Century Fox Film Corp.</w:t>
      </w:r>
      <w:r w:rsidRPr="002A2C7E">
        <w:rPr>
          <w:rFonts w:ascii="Century Schoolbook" w:hAnsi="Century Schoolbook"/>
          <w:iCs/>
        </w:rPr>
        <w:t>,</w:t>
      </w:r>
      <w:r w:rsidRPr="002A2C7E">
        <w:rPr>
          <w:rFonts w:ascii="Century Schoolbook" w:hAnsi="Century Schoolbook"/>
          <w:i/>
        </w:rPr>
        <w:t xml:space="preserve"> </w:t>
      </w:r>
      <w:r w:rsidRPr="002A2C7E">
        <w:rPr>
          <w:rFonts w:ascii="Century Schoolbook" w:hAnsi="Century Schoolbook"/>
        </w:rPr>
        <w:t>539 U.S. 23 (2003)</w:t>
      </w:r>
      <w:r w:rsidR="009B52E4">
        <w:rPr>
          <w:rFonts w:ascii="Century Schoolbook" w:hAnsi="Century Schoolbook"/>
        </w:rPr>
        <w:t>,</w:t>
      </w:r>
      <w:r w:rsidRPr="002A2C7E">
        <w:rPr>
          <w:rFonts w:ascii="Century Schoolbook" w:hAnsi="Century Schoolbook"/>
        </w:rPr>
        <w:t xml:space="preserve"> directly blocked Pilton’s claim. </w:t>
      </w:r>
      <w:proofErr w:type="spellStart"/>
      <w:r w:rsidRPr="002A2C7E">
        <w:rPr>
          <w:rFonts w:ascii="Century Schoolbook" w:hAnsi="Century Schoolbook"/>
        </w:rPr>
        <w:t>Dentop</w:t>
      </w:r>
      <w:proofErr w:type="spellEnd"/>
      <w:r w:rsidRPr="002A2C7E">
        <w:rPr>
          <w:rFonts w:ascii="Century Schoolbook" w:hAnsi="Century Schoolbook"/>
        </w:rPr>
        <w:t xml:space="preserve"> argued </w:t>
      </w:r>
      <w:r w:rsidR="00155318">
        <w:rPr>
          <w:rFonts w:ascii="Century Schoolbook" w:hAnsi="Century Schoolbook"/>
        </w:rPr>
        <w:t xml:space="preserve">that </w:t>
      </w:r>
      <w:proofErr w:type="spellStart"/>
      <w:r w:rsidRPr="002A2C7E">
        <w:rPr>
          <w:rFonts w:ascii="Century Schoolbook" w:hAnsi="Century Schoolbook"/>
          <w:i/>
        </w:rPr>
        <w:t>Dastar</w:t>
      </w:r>
      <w:proofErr w:type="spellEnd"/>
      <w:r w:rsidRPr="002A2C7E">
        <w:rPr>
          <w:rFonts w:ascii="Century Schoolbook" w:hAnsi="Century Schoolbook"/>
        </w:rPr>
        <w:t xml:space="preserve"> held that trademark infringement can only attach to physical products and cannot be triggered by film footage. The district court disagreed and </w:t>
      </w:r>
      <w:r w:rsidR="00155318">
        <w:rPr>
          <w:rFonts w:ascii="Century Schoolbook" w:hAnsi="Century Schoolbook"/>
        </w:rPr>
        <w:t>held that</w:t>
      </w:r>
      <w:r w:rsidRPr="002A2C7E">
        <w:rPr>
          <w:rFonts w:ascii="Century Schoolbook" w:hAnsi="Century Schoolbook"/>
        </w:rPr>
        <w:t xml:space="preserve"> </w:t>
      </w:r>
      <w:proofErr w:type="spellStart"/>
      <w:r w:rsidRPr="002A2C7E">
        <w:rPr>
          <w:rFonts w:ascii="Century Schoolbook" w:hAnsi="Century Schoolbook"/>
          <w:i/>
        </w:rPr>
        <w:t>Dastar</w:t>
      </w:r>
      <w:proofErr w:type="spellEnd"/>
      <w:r w:rsidRPr="002A2C7E">
        <w:rPr>
          <w:rFonts w:ascii="Century Schoolbook" w:hAnsi="Century Schoolbook"/>
          <w:i/>
        </w:rPr>
        <w:t xml:space="preserve"> </w:t>
      </w:r>
      <w:r w:rsidRPr="002A2C7E">
        <w:rPr>
          <w:rFonts w:ascii="Century Schoolbook" w:hAnsi="Century Schoolbook"/>
        </w:rPr>
        <w:t>only appl</w:t>
      </w:r>
      <w:r w:rsidR="00155318">
        <w:rPr>
          <w:rFonts w:ascii="Century Schoolbook" w:hAnsi="Century Schoolbook"/>
        </w:rPr>
        <w:t>ies</w:t>
      </w:r>
      <w:r w:rsidRPr="002A2C7E">
        <w:rPr>
          <w:rFonts w:ascii="Century Schoolbook" w:hAnsi="Century Schoolbook"/>
        </w:rPr>
        <w:t xml:space="preserve"> directly to complaints alleging confusion over origin. The court found that Pilton was not arguing that there would be any confusion as to </w:t>
      </w:r>
      <w:r w:rsidRPr="00953BB2">
        <w:rPr>
          <w:rFonts w:ascii="Century Schoolbook" w:hAnsi="Century Schoolbook"/>
          <w:i/>
        </w:rPr>
        <w:t>origin</w:t>
      </w:r>
      <w:r w:rsidR="0017316A">
        <w:rPr>
          <w:rFonts w:ascii="Century Schoolbook" w:hAnsi="Century Schoolbook"/>
        </w:rPr>
        <w:t xml:space="preserve"> since Pilton only</w:t>
      </w:r>
      <w:r w:rsidRPr="002A2C7E">
        <w:rPr>
          <w:rFonts w:ascii="Century Schoolbook" w:hAnsi="Century Schoolbook"/>
        </w:rPr>
        <w:t xml:space="preserve"> claimed that the inclusion of Ricky the Raccoon in advertisements would confuse audiences into thinking that Pilton was </w:t>
      </w:r>
      <w:r w:rsidRPr="002A2C7E">
        <w:rPr>
          <w:rFonts w:ascii="Century Schoolbook" w:hAnsi="Century Schoolbook"/>
          <w:i/>
          <w:iCs/>
        </w:rPr>
        <w:t>sponsoring</w:t>
      </w:r>
      <w:r w:rsidRPr="002A2C7E">
        <w:rPr>
          <w:rFonts w:ascii="Century Schoolbook" w:hAnsi="Century Schoolbook"/>
        </w:rPr>
        <w:t xml:space="preserve"> the short. Accordingly, the district court found </w:t>
      </w:r>
      <w:proofErr w:type="spellStart"/>
      <w:r w:rsidRPr="002A2C7E">
        <w:rPr>
          <w:rFonts w:ascii="Century Schoolbook" w:hAnsi="Century Schoolbook"/>
          <w:i/>
          <w:iCs/>
        </w:rPr>
        <w:t>Dastar</w:t>
      </w:r>
      <w:proofErr w:type="spellEnd"/>
      <w:r w:rsidRPr="002A2C7E">
        <w:rPr>
          <w:rFonts w:ascii="Century Schoolbook" w:hAnsi="Century Schoolbook"/>
          <w:i/>
          <w:iCs/>
        </w:rPr>
        <w:t xml:space="preserve"> </w:t>
      </w:r>
      <w:r w:rsidRPr="002A2C7E">
        <w:rPr>
          <w:rFonts w:ascii="Century Schoolbook" w:hAnsi="Century Schoolbook"/>
        </w:rPr>
        <w:t>inapplicable and allowed the trademark claim to go forward.</w:t>
      </w:r>
    </w:p>
    <w:p w14:paraId="257EFB55" w14:textId="77777777" w:rsidR="007B1E98" w:rsidRPr="002A2C7E" w:rsidRDefault="007B1E98" w:rsidP="007218F6">
      <w:pPr>
        <w:spacing w:after="0" w:line="240" w:lineRule="auto"/>
        <w:ind w:firstLine="720"/>
        <w:jc w:val="both"/>
        <w:rPr>
          <w:rFonts w:ascii="Century Schoolbook" w:hAnsi="Century Schoolbook"/>
        </w:rPr>
      </w:pPr>
    </w:p>
    <w:p w14:paraId="29CCDF2E" w14:textId="77C44C93"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While the claim originally alleged that two registered trademarks were infringed—one on the modern depiction of Ricky and one on his 1923 appearance, both registered for uses in connection with films and animations—Pilton voluntarily dropped the trademark claim with respect to the trademark on the modern depiction of Ricky.</w:t>
      </w:r>
    </w:p>
    <w:p w14:paraId="40BAA268" w14:textId="77777777" w:rsidR="007B1E98" w:rsidRPr="002A2C7E" w:rsidRDefault="007B1E98" w:rsidP="007218F6">
      <w:pPr>
        <w:spacing w:after="0" w:line="240" w:lineRule="auto"/>
        <w:ind w:firstLine="720"/>
        <w:jc w:val="both"/>
        <w:rPr>
          <w:rFonts w:ascii="Century Schoolbook" w:hAnsi="Century Schoolbook"/>
        </w:rPr>
      </w:pPr>
    </w:p>
    <w:p w14:paraId="339AA634" w14:textId="0A2FA3F3"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When ruling on a Motion and a Cross-Motion for Summary Judgment, the district court held that the trademark on the “Racecar Richard” version of Ricky was unaffected by the short entering the public domain because copyright and trademark are distinct forms of protection. The district court then found that while </w:t>
      </w:r>
      <w:proofErr w:type="spellStart"/>
      <w:r w:rsidRPr="002A2C7E">
        <w:rPr>
          <w:rFonts w:ascii="Century Schoolbook" w:hAnsi="Century Schoolbook"/>
          <w:i/>
        </w:rPr>
        <w:t>Dastar</w:t>
      </w:r>
      <w:proofErr w:type="spellEnd"/>
      <w:r w:rsidRPr="002A2C7E">
        <w:rPr>
          <w:rFonts w:ascii="Century Schoolbook" w:hAnsi="Century Schoolbook"/>
        </w:rPr>
        <w:t xml:space="preserve"> did create a safe harbor against trademark infringement for reproductions of public domain works, the safe harbor only applies to nearly exact reproductions. The court found that the alterations by </w:t>
      </w:r>
      <w:proofErr w:type="spellStart"/>
      <w:r w:rsidRPr="002A2C7E">
        <w:rPr>
          <w:rFonts w:ascii="Century Schoolbook" w:hAnsi="Century Schoolbook"/>
        </w:rPr>
        <w:t>Dentop</w:t>
      </w:r>
      <w:proofErr w:type="spellEnd"/>
      <w:r w:rsidRPr="002A2C7E">
        <w:rPr>
          <w:rFonts w:ascii="Century Schoolbook" w:hAnsi="Century Schoolbook"/>
        </w:rPr>
        <w:t xml:space="preserve"> went beyond this limited safe harbor. Accordingly, the district court found that the inclusion of Ricky the Raccoon in the advertisements was textbook trademark infringement and granted summary judgment to Pilton. Indeed, </w:t>
      </w:r>
      <w:proofErr w:type="spellStart"/>
      <w:r w:rsidRPr="002A2C7E">
        <w:rPr>
          <w:rFonts w:ascii="Century Schoolbook" w:hAnsi="Century Schoolbook"/>
        </w:rPr>
        <w:t>Dentop</w:t>
      </w:r>
      <w:proofErr w:type="spellEnd"/>
      <w:r w:rsidRPr="002A2C7E">
        <w:rPr>
          <w:rFonts w:ascii="Century Schoolbook" w:hAnsi="Century Schoolbook"/>
        </w:rPr>
        <w:t xml:space="preserve"> had earlier conceded that if the trademark </w:t>
      </w:r>
      <w:r w:rsidR="00503916" w:rsidRPr="002A2C7E">
        <w:rPr>
          <w:rFonts w:ascii="Century Schoolbook" w:hAnsi="Century Schoolbook"/>
        </w:rPr>
        <w:t>were</w:t>
      </w:r>
      <w:r w:rsidRPr="002A2C7E">
        <w:rPr>
          <w:rFonts w:ascii="Century Schoolbook" w:hAnsi="Century Schoolbook"/>
        </w:rPr>
        <w:t xml:space="preserve"> valid and if a </w:t>
      </w:r>
      <w:proofErr w:type="spellStart"/>
      <w:r w:rsidRPr="002A2C7E">
        <w:rPr>
          <w:rFonts w:ascii="Century Schoolbook" w:hAnsi="Century Schoolbook"/>
          <w:i/>
        </w:rPr>
        <w:t>Dastar</w:t>
      </w:r>
      <w:proofErr w:type="spellEnd"/>
      <w:r w:rsidRPr="002A2C7E">
        <w:rPr>
          <w:rFonts w:ascii="Century Schoolbook" w:hAnsi="Century Schoolbook"/>
          <w:i/>
        </w:rPr>
        <w:t xml:space="preserve"> </w:t>
      </w:r>
      <w:r w:rsidRPr="002A2C7E">
        <w:rPr>
          <w:rFonts w:ascii="Century Schoolbook" w:hAnsi="Century Schoolbook"/>
        </w:rPr>
        <w:t xml:space="preserve">exception did not apply to them, there would be trademark infringement. Pilton was awarded a permanent injunction but did not receive any damages as Pilton </w:t>
      </w:r>
      <w:r w:rsidR="007218F6">
        <w:rPr>
          <w:rFonts w:ascii="Century Schoolbook" w:hAnsi="Century Schoolbook"/>
        </w:rPr>
        <w:t>did not seek any.</w:t>
      </w:r>
    </w:p>
    <w:p w14:paraId="1C4A3F51" w14:textId="77777777" w:rsidR="007B1E98" w:rsidRPr="002A2C7E" w:rsidRDefault="007B1E98" w:rsidP="007218F6">
      <w:pPr>
        <w:spacing w:after="0" w:line="240" w:lineRule="auto"/>
        <w:ind w:firstLine="720"/>
        <w:jc w:val="both"/>
        <w:rPr>
          <w:rFonts w:ascii="Century Schoolbook" w:hAnsi="Century Schoolbook"/>
        </w:rPr>
      </w:pPr>
    </w:p>
    <w:p w14:paraId="4EE6DF19" w14:textId="51DD8583"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The Fourteenth Circuit initially reversed. Without discussing if the modern version of Ricky might form the basis of a valid trademark, the court found that the 1923 version of the character could not receive trademark protection, at least in the context of creative works. The Fourteenth Circuit held that trademark protection cannot extend to </w:t>
      </w:r>
      <w:r w:rsidR="00947A59">
        <w:rPr>
          <w:rFonts w:ascii="Century Schoolbook" w:hAnsi="Century Schoolbook"/>
        </w:rPr>
        <w:t xml:space="preserve">a </w:t>
      </w:r>
      <w:r w:rsidRPr="002A2C7E">
        <w:rPr>
          <w:rFonts w:ascii="Century Schoolbook" w:hAnsi="Century Schoolbook"/>
        </w:rPr>
        <w:t>creative work if the creative work which gives rise to the trademark has since entered the public domain.</w:t>
      </w:r>
      <w:r w:rsidR="00087DE3">
        <w:rPr>
          <w:rFonts w:ascii="Century Schoolbook" w:hAnsi="Century Schoolbook"/>
        </w:rPr>
        <w:t xml:space="preserve"> The panel concluded by saying “</w:t>
      </w:r>
      <w:r w:rsidR="00087DE3" w:rsidRPr="00F92BD1">
        <w:rPr>
          <w:rFonts w:ascii="Century Schoolbook" w:hAnsi="Century Schoolbook"/>
        </w:rPr>
        <w:t xml:space="preserve">we interpret the Lanham Act to carry an implicit exception to </w:t>
      </w:r>
      <w:proofErr w:type="spellStart"/>
      <w:r w:rsidR="00087DE3" w:rsidRPr="00F92BD1">
        <w:rPr>
          <w:rFonts w:ascii="Century Schoolbook" w:hAnsi="Century Schoolbook"/>
        </w:rPr>
        <w:t>trademarkability</w:t>
      </w:r>
      <w:proofErr w:type="spellEnd"/>
      <w:r w:rsidR="00087DE3" w:rsidRPr="00F92BD1">
        <w:rPr>
          <w:rFonts w:ascii="Century Schoolbook" w:hAnsi="Century Schoolbook"/>
        </w:rPr>
        <w:t xml:space="preserve"> under which a visual character cannot receive trademark protection in areas relating to creative works after the copyright on the underlying work expires.</w:t>
      </w:r>
      <w:r w:rsidR="00087DE3">
        <w:rPr>
          <w:rFonts w:ascii="Century Schoolbook" w:hAnsi="Century Schoolbook"/>
        </w:rPr>
        <w:t>” (R. at 19).</w:t>
      </w:r>
    </w:p>
    <w:p w14:paraId="136E8680" w14:textId="77777777" w:rsidR="007B1E98" w:rsidRPr="002A2C7E" w:rsidRDefault="007B1E98" w:rsidP="00087DE3">
      <w:pPr>
        <w:spacing w:after="0" w:line="240" w:lineRule="auto"/>
        <w:ind w:firstLine="720"/>
        <w:jc w:val="both"/>
        <w:rPr>
          <w:rFonts w:ascii="Century Schoolbook" w:hAnsi="Century Schoolbook"/>
        </w:rPr>
      </w:pPr>
    </w:p>
    <w:p w14:paraId="0A09A37E" w14:textId="22C2BE3B" w:rsidR="00E10AB7" w:rsidRDefault="00E458D1" w:rsidP="007B1E98">
      <w:pPr>
        <w:spacing w:after="0" w:line="240" w:lineRule="auto"/>
        <w:ind w:firstLine="720"/>
        <w:jc w:val="both"/>
        <w:rPr>
          <w:rFonts w:ascii="Century Schoolbook" w:hAnsi="Century Schoolbook"/>
        </w:rPr>
      </w:pPr>
      <w:r>
        <w:rPr>
          <w:rFonts w:ascii="Century Schoolbook" w:hAnsi="Century Schoolbook"/>
        </w:rPr>
        <w:t>On alternative grounds, t</w:t>
      </w:r>
      <w:r w:rsidR="00E10AB7" w:rsidRPr="002A2C7E">
        <w:rPr>
          <w:rFonts w:ascii="Century Schoolbook" w:hAnsi="Century Schoolbook"/>
        </w:rPr>
        <w:t xml:space="preserve">he Fourteenth Circuit panel held that even if the trademark was valid there is a clear exception </w:t>
      </w:r>
      <w:r>
        <w:rPr>
          <w:rFonts w:ascii="Century Schoolbook" w:hAnsi="Century Schoolbook"/>
        </w:rPr>
        <w:t>of</w:t>
      </w:r>
      <w:r w:rsidR="00E10AB7" w:rsidRPr="002A2C7E">
        <w:rPr>
          <w:rFonts w:ascii="Century Schoolbook" w:hAnsi="Century Schoolbook"/>
        </w:rPr>
        <w:t xml:space="preserve"> trademark liability for reproductions of public domain works, regardless of whether those reproductions are used in advertisements or are slightly altered. </w:t>
      </w:r>
      <w:r>
        <w:rPr>
          <w:rFonts w:ascii="Century Schoolbook" w:hAnsi="Century Schoolbook"/>
        </w:rPr>
        <w:t>While</w:t>
      </w:r>
      <w:r w:rsidR="00E10AB7" w:rsidRPr="002A2C7E">
        <w:rPr>
          <w:rFonts w:ascii="Century Schoolbook" w:hAnsi="Century Schoolbook"/>
        </w:rPr>
        <w:t xml:space="preserve"> the district court </w:t>
      </w:r>
      <w:r>
        <w:rPr>
          <w:rFonts w:ascii="Century Schoolbook" w:hAnsi="Century Schoolbook"/>
        </w:rPr>
        <w:t xml:space="preserve">determined that </w:t>
      </w:r>
      <w:proofErr w:type="spellStart"/>
      <w:r w:rsidR="00E10AB7" w:rsidRPr="002A2C7E">
        <w:rPr>
          <w:rFonts w:ascii="Century Schoolbook" w:hAnsi="Century Schoolbook"/>
          <w:i/>
        </w:rPr>
        <w:t>Dastar</w:t>
      </w:r>
      <w:proofErr w:type="spellEnd"/>
      <w:r w:rsidR="00E10AB7" w:rsidRPr="002A2C7E">
        <w:rPr>
          <w:rFonts w:ascii="Century Schoolbook" w:hAnsi="Century Schoolbook"/>
          <w:i/>
        </w:rPr>
        <w:t xml:space="preserve"> </w:t>
      </w:r>
      <w:r>
        <w:rPr>
          <w:rFonts w:ascii="Century Schoolbook" w:hAnsi="Century Schoolbook"/>
        </w:rPr>
        <w:t>creates</w:t>
      </w:r>
      <w:r w:rsidR="00E10AB7" w:rsidRPr="002A2C7E">
        <w:rPr>
          <w:rFonts w:ascii="Century Schoolbook" w:hAnsi="Century Schoolbook"/>
        </w:rPr>
        <w:t xml:space="preserve"> a safe harbor, the Fourteenth Circuit instead said </w:t>
      </w:r>
      <w:proofErr w:type="spellStart"/>
      <w:r w:rsidR="00E10AB7" w:rsidRPr="002A2C7E">
        <w:rPr>
          <w:rFonts w:ascii="Century Schoolbook" w:hAnsi="Century Schoolbook"/>
          <w:i/>
        </w:rPr>
        <w:t>Dastar</w:t>
      </w:r>
      <w:proofErr w:type="spellEnd"/>
      <w:r w:rsidR="00E10AB7" w:rsidRPr="002A2C7E">
        <w:rPr>
          <w:rFonts w:ascii="Century Schoolbook" w:hAnsi="Century Schoolbook"/>
        </w:rPr>
        <w:t xml:space="preserve"> bars trademark claims which are actually disguised copyright claims and that the relevant inquiry is not how closely the defendant reproduced the public domain work, but the nature of the plaintiff’s supposed injury. Here, </w:t>
      </w:r>
      <w:r w:rsidR="00087DE3">
        <w:rPr>
          <w:rFonts w:ascii="Century Schoolbook" w:hAnsi="Century Schoolbook"/>
        </w:rPr>
        <w:t>Fourteenth Circuit</w:t>
      </w:r>
      <w:r w:rsidR="00E10AB7" w:rsidRPr="002A2C7E">
        <w:rPr>
          <w:rFonts w:ascii="Century Schoolbook" w:hAnsi="Century Schoolbook"/>
        </w:rPr>
        <w:t xml:space="preserve"> said that Pilton’s injury stems from loss of control over the character—a copyright injury—but did not mention Pilton’s dismissed copyright claim. </w:t>
      </w:r>
    </w:p>
    <w:p w14:paraId="62E0DD13" w14:textId="77777777" w:rsidR="007B1E98" w:rsidRPr="002A2C7E" w:rsidRDefault="007B1E98" w:rsidP="00087DE3">
      <w:pPr>
        <w:spacing w:after="0" w:line="240" w:lineRule="auto"/>
        <w:ind w:firstLine="720"/>
        <w:jc w:val="both"/>
        <w:rPr>
          <w:rFonts w:ascii="Century Schoolbook" w:hAnsi="Century Schoolbook"/>
        </w:rPr>
      </w:pPr>
    </w:p>
    <w:p w14:paraId="2ED1D158" w14:textId="4402D5A5"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Chief Judge Whitmer dissented </w:t>
      </w:r>
      <w:r w:rsidR="00E458D1">
        <w:rPr>
          <w:rFonts w:ascii="Century Schoolbook" w:hAnsi="Century Schoolbook"/>
        </w:rPr>
        <w:t xml:space="preserve">from the Fourteenth Circuit majority panel ruling </w:t>
      </w:r>
      <w:r w:rsidRPr="002A2C7E">
        <w:rPr>
          <w:rFonts w:ascii="Century Schoolbook" w:hAnsi="Century Schoolbook"/>
        </w:rPr>
        <w:t>for many of the same reasons outlined by the district court. He also discussed the far-ranging policy impacts of the majority’s decision.</w:t>
      </w:r>
    </w:p>
    <w:p w14:paraId="34CDEDD2" w14:textId="77777777" w:rsidR="007B1E98" w:rsidRPr="002A2C7E" w:rsidRDefault="007B1E98" w:rsidP="00087DE3">
      <w:pPr>
        <w:spacing w:after="0" w:line="240" w:lineRule="auto"/>
        <w:ind w:firstLine="720"/>
        <w:jc w:val="both"/>
        <w:rPr>
          <w:rFonts w:ascii="Century Schoolbook" w:hAnsi="Century Schoolbook"/>
        </w:rPr>
      </w:pPr>
    </w:p>
    <w:p w14:paraId="4258FC21" w14:textId="5F09BBFA"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Due to the importance of this holding to Pilton, as well as to all owners of trademarked visual characters soon to enter the public domain, the Fourteenth Circuit decided to rehear the case </w:t>
      </w:r>
      <w:proofErr w:type="spellStart"/>
      <w:r w:rsidRPr="002A2C7E">
        <w:rPr>
          <w:rFonts w:ascii="Century Schoolbook" w:hAnsi="Century Schoolbook"/>
          <w:i/>
        </w:rPr>
        <w:t>en</w:t>
      </w:r>
      <w:proofErr w:type="spellEnd"/>
      <w:r w:rsidRPr="002A2C7E">
        <w:rPr>
          <w:rFonts w:ascii="Century Schoolbook" w:hAnsi="Century Schoolbook"/>
          <w:i/>
        </w:rPr>
        <w:t xml:space="preserve"> banc</w:t>
      </w:r>
      <w:r w:rsidRPr="002A2C7E">
        <w:rPr>
          <w:rFonts w:ascii="Century Schoolbook" w:hAnsi="Century Schoolbook"/>
        </w:rPr>
        <w:t xml:space="preserve">, bringing the case to the present argument. </w:t>
      </w:r>
    </w:p>
    <w:p w14:paraId="137D4655" w14:textId="77777777" w:rsidR="007B1E98" w:rsidRPr="002A2C7E" w:rsidRDefault="007B1E98" w:rsidP="00087DE3">
      <w:pPr>
        <w:spacing w:after="0" w:line="240" w:lineRule="auto"/>
        <w:ind w:firstLine="720"/>
        <w:jc w:val="both"/>
        <w:rPr>
          <w:rFonts w:ascii="Century Schoolbook" w:hAnsi="Century Schoolbook"/>
        </w:rPr>
      </w:pPr>
    </w:p>
    <w:p w14:paraId="6ACD4BB0" w14:textId="4E0C7333" w:rsidR="00E10AB7" w:rsidRDefault="00E10AB7" w:rsidP="007B1E98">
      <w:pPr>
        <w:spacing w:after="0" w:line="240" w:lineRule="auto"/>
        <w:jc w:val="center"/>
        <w:rPr>
          <w:rFonts w:ascii="Century Schoolbook" w:hAnsi="Century Schoolbook"/>
          <w:b/>
          <w:u w:val="single"/>
        </w:rPr>
      </w:pPr>
      <w:r w:rsidRPr="002A2C7E">
        <w:rPr>
          <w:rFonts w:ascii="Century Schoolbook" w:hAnsi="Century Schoolbook"/>
          <w:b/>
          <w:u w:val="single"/>
        </w:rPr>
        <w:t>BACKGROUND LAW</w:t>
      </w:r>
    </w:p>
    <w:p w14:paraId="4EAC4178" w14:textId="77777777" w:rsidR="007B1E98" w:rsidRPr="002A2C7E" w:rsidRDefault="007B1E98" w:rsidP="00087DE3">
      <w:pPr>
        <w:spacing w:after="0" w:line="240" w:lineRule="auto"/>
        <w:jc w:val="center"/>
        <w:rPr>
          <w:rFonts w:ascii="Century Schoolbook" w:hAnsi="Century Schoolbook"/>
          <w:b/>
          <w:u w:val="single"/>
        </w:rPr>
      </w:pPr>
    </w:p>
    <w:p w14:paraId="60DD86A3" w14:textId="45090BA8"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The Lanham Act grants federal protection for trademarks.</w:t>
      </w:r>
      <w:r w:rsidRPr="002A2C7E">
        <w:rPr>
          <w:rStyle w:val="FootnoteReference"/>
          <w:rFonts w:ascii="Century Schoolbook" w:hAnsi="Century Schoolbook"/>
        </w:rPr>
        <w:footnoteReference w:id="2"/>
      </w:r>
      <w:r w:rsidRPr="002A2C7E">
        <w:rPr>
          <w:rFonts w:ascii="Century Schoolbook" w:hAnsi="Century Schoolbook"/>
        </w:rPr>
        <w:t xml:space="preserve"> 15 U.S.C. § 1051. Trademarks exist to guard against the use of deceptive practices and unfair competition</w:t>
      </w:r>
      <w:r w:rsidRPr="002A2C7E">
        <w:rPr>
          <w:rFonts w:ascii="Century Schoolbook" w:hAnsi="Century Schoolbook"/>
          <w:i/>
        </w:rPr>
        <w:t xml:space="preserve">. See </w:t>
      </w:r>
      <w:proofErr w:type="spellStart"/>
      <w:r w:rsidRPr="002A2C7E">
        <w:rPr>
          <w:rFonts w:ascii="Century Schoolbook" w:hAnsi="Century Schoolbook"/>
          <w:i/>
        </w:rPr>
        <w:t>Dastar</w:t>
      </w:r>
      <w:proofErr w:type="spellEnd"/>
      <w:r w:rsidRPr="002A2C7E">
        <w:rPr>
          <w:rFonts w:ascii="Century Schoolbook" w:hAnsi="Century Schoolbook"/>
          <w:i/>
        </w:rPr>
        <w:t xml:space="preserve"> Corp. v. Twentieth Century Fox Film Corp.</w:t>
      </w:r>
      <w:r w:rsidRPr="002A2C7E">
        <w:rPr>
          <w:rFonts w:ascii="Century Schoolbook" w:hAnsi="Century Schoolbook"/>
        </w:rPr>
        <w:t xml:space="preserve">, 539 U.S. 23, 34 (2003) (“Federal trademark law . . . reduce[s] the customer’s costs of shopping and making purchasing decisions, and helps assure a producer that it (and not an imitating competitor) will reap the financial, reputation-related rewards associated with a desirable product.”) (alteration in original) (citations omitted). In particular, </w:t>
      </w:r>
      <w:r w:rsidRPr="002A2C7E">
        <w:rPr>
          <w:rFonts w:ascii="Century Schoolbook" w:hAnsi="Century Schoolbook"/>
        </w:rPr>
        <w:lastRenderedPageBreak/>
        <w:t>the Lanham Act prevents trademarks from being used by others, in connection with goods and services, in such a way that could cause confusion as to origin, sponsorship</w:t>
      </w:r>
      <w:r w:rsidR="002D2408">
        <w:rPr>
          <w:rFonts w:ascii="Century Schoolbook" w:hAnsi="Century Schoolbook"/>
        </w:rPr>
        <w:t>,</w:t>
      </w:r>
      <w:r w:rsidRPr="002A2C7E">
        <w:rPr>
          <w:rFonts w:ascii="Century Schoolbook" w:hAnsi="Century Schoolbook"/>
        </w:rPr>
        <w:t xml:space="preserve"> or approval. 15 U.S.C. § 1125(d)(1). So long as the owner of the trademark continuously uses the trademark, trademarks can last indefinitely. </w:t>
      </w:r>
      <w:r w:rsidRPr="002A2C7E">
        <w:rPr>
          <w:rFonts w:ascii="Century Schoolbook" w:hAnsi="Century Schoolbook"/>
          <w:i/>
          <w:iCs/>
        </w:rPr>
        <w:t>Id</w:t>
      </w:r>
      <w:r w:rsidRPr="002A2C7E">
        <w:rPr>
          <w:rFonts w:ascii="Century Schoolbook" w:hAnsi="Century Schoolbook"/>
        </w:rPr>
        <w:t>. § 1059.</w:t>
      </w:r>
    </w:p>
    <w:p w14:paraId="07110C8B" w14:textId="77777777" w:rsidR="007B1E98" w:rsidRPr="002A2C7E" w:rsidRDefault="007B1E98" w:rsidP="00087DE3">
      <w:pPr>
        <w:spacing w:after="0" w:line="240" w:lineRule="auto"/>
        <w:ind w:firstLine="720"/>
        <w:jc w:val="both"/>
        <w:rPr>
          <w:rFonts w:ascii="Century Schoolbook" w:hAnsi="Century Schoolbook"/>
        </w:rPr>
      </w:pPr>
    </w:p>
    <w:p w14:paraId="2D83040A" w14:textId="1D6ABBA1"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The Copyright Act protects creative works. 17 U.S.C §§ 101–810. Unlike trademarks, which Congress regulates pursuant to the Commerce Clause, </w:t>
      </w:r>
      <w:r w:rsidR="00087DE3" w:rsidRPr="00087DE3">
        <w:rPr>
          <w:rFonts w:ascii="Century Schoolbook" w:hAnsi="Century Schoolbook"/>
        </w:rPr>
        <w:t>the Constitution explicitly empowers Congress to grant copyright protections</w:t>
      </w:r>
      <w:r w:rsidRPr="002A2C7E">
        <w:rPr>
          <w:rFonts w:ascii="Century Schoolbook" w:hAnsi="Century Schoolbook"/>
        </w:rPr>
        <w:t>. U.S. Const. art.</w:t>
      </w:r>
      <w:r w:rsidR="002D2408">
        <w:rPr>
          <w:rFonts w:ascii="Century Schoolbook" w:hAnsi="Century Schoolbook"/>
        </w:rPr>
        <w:t> </w:t>
      </w:r>
      <w:r w:rsidRPr="002A2C7E">
        <w:rPr>
          <w:rFonts w:ascii="Century Schoolbook" w:hAnsi="Century Schoolbook"/>
        </w:rPr>
        <w:t>I, §</w:t>
      </w:r>
      <w:r w:rsidR="002D2408">
        <w:rPr>
          <w:rFonts w:ascii="Century Schoolbook" w:hAnsi="Century Schoolbook"/>
        </w:rPr>
        <w:t> </w:t>
      </w:r>
      <w:r w:rsidRPr="002A2C7E">
        <w:rPr>
          <w:rFonts w:ascii="Century Schoolbook" w:hAnsi="Century Schoolbook"/>
        </w:rPr>
        <w:t>8, cl.</w:t>
      </w:r>
      <w:r w:rsidR="002D2408">
        <w:rPr>
          <w:rFonts w:ascii="Century Schoolbook" w:hAnsi="Century Schoolbook"/>
        </w:rPr>
        <w:t> </w:t>
      </w:r>
      <w:r w:rsidRPr="002A2C7E">
        <w:rPr>
          <w:rFonts w:ascii="Century Schoolbook" w:hAnsi="Century Schoolbook"/>
        </w:rPr>
        <w:t>8 (granting Congress the power “[t]o promote the Progress of Science and useful Arts, by securing for limited Times to Authors and Inventors the exclusive Right to their respective Writings and Discoveries</w:t>
      </w:r>
      <w:r w:rsidR="002D2408">
        <w:rPr>
          <w:rFonts w:ascii="Century Schoolbook" w:hAnsi="Century Schoolbook"/>
        </w:rPr>
        <w:t xml:space="preserve"> . . . .</w:t>
      </w:r>
      <w:r w:rsidRPr="002A2C7E">
        <w:rPr>
          <w:rFonts w:ascii="Century Schoolbook" w:hAnsi="Century Schoolbook"/>
        </w:rPr>
        <w:t xml:space="preserve">”); </w:t>
      </w:r>
      <w:r w:rsidRPr="002A2C7E">
        <w:rPr>
          <w:rFonts w:ascii="Century Schoolbook" w:hAnsi="Century Schoolbook"/>
          <w:i/>
        </w:rPr>
        <w:t>see In re Trade-Mark Cases</w:t>
      </w:r>
      <w:r w:rsidRPr="002A2C7E">
        <w:rPr>
          <w:rFonts w:ascii="Century Schoolbook" w:hAnsi="Century Schoolbook"/>
        </w:rPr>
        <w:t xml:space="preserve">, 100 U.S. 82, 85–86 (1879) (explaining that, due to the differences between trademarks and both patents and copyrights, Article I, Section 8, Clause 8 of the U.S. Constitution does not grant Congress the power to regulate trademarks). However, the Constitution also imposes a restriction on copyright: it can last only for a </w:t>
      </w:r>
      <w:r w:rsidRPr="002A2C7E">
        <w:rPr>
          <w:rFonts w:ascii="Century Schoolbook" w:hAnsi="Century Schoolbook"/>
          <w:i/>
        </w:rPr>
        <w:t>limited</w:t>
      </w:r>
      <w:r w:rsidRPr="002A2C7E">
        <w:rPr>
          <w:rFonts w:ascii="Century Schoolbook" w:hAnsi="Century Schoolbook"/>
        </w:rPr>
        <w:t xml:space="preserve"> time. U.S. Const. art.</w:t>
      </w:r>
      <w:r w:rsidR="002D2408">
        <w:rPr>
          <w:rFonts w:ascii="Century Schoolbook" w:hAnsi="Century Schoolbook"/>
        </w:rPr>
        <w:t> </w:t>
      </w:r>
      <w:r w:rsidRPr="002A2C7E">
        <w:rPr>
          <w:rFonts w:ascii="Century Schoolbook" w:hAnsi="Century Schoolbook"/>
        </w:rPr>
        <w:t>I, §</w:t>
      </w:r>
      <w:r w:rsidR="002D2408">
        <w:rPr>
          <w:rFonts w:ascii="Century Schoolbook" w:hAnsi="Century Schoolbook"/>
        </w:rPr>
        <w:t> </w:t>
      </w:r>
      <w:r w:rsidRPr="002A2C7E">
        <w:rPr>
          <w:rFonts w:ascii="Century Schoolbook" w:hAnsi="Century Schoolbook"/>
        </w:rPr>
        <w:t>8, cl.</w:t>
      </w:r>
      <w:r w:rsidR="002D2408">
        <w:rPr>
          <w:rFonts w:ascii="Century Schoolbook" w:hAnsi="Century Schoolbook"/>
        </w:rPr>
        <w:t> </w:t>
      </w:r>
      <w:r w:rsidRPr="002A2C7E">
        <w:rPr>
          <w:rFonts w:ascii="Century Schoolbook" w:hAnsi="Century Schoolbook"/>
        </w:rPr>
        <w:t>8. While Congress has stretched the meaning of “limited” to the life of the author plus seventy years for most works and, in the case of works</w:t>
      </w:r>
      <w:r w:rsidR="00855BC4">
        <w:rPr>
          <w:rFonts w:ascii="Century Schoolbook" w:hAnsi="Century Schoolbook"/>
        </w:rPr>
        <w:t xml:space="preserve"> </w:t>
      </w:r>
      <w:r w:rsidR="00A526C2">
        <w:rPr>
          <w:rFonts w:ascii="Century Schoolbook" w:hAnsi="Century Schoolbook"/>
        </w:rPr>
        <w:t>made</w:t>
      </w:r>
      <w:r w:rsidR="00855BC4">
        <w:rPr>
          <w:rFonts w:ascii="Century Schoolbook" w:hAnsi="Century Schoolbook"/>
        </w:rPr>
        <w:t xml:space="preserve"> </w:t>
      </w:r>
      <w:r w:rsidR="00A526C2">
        <w:rPr>
          <w:rFonts w:ascii="Century Schoolbook" w:hAnsi="Century Schoolbook"/>
        </w:rPr>
        <w:t>for</w:t>
      </w:r>
      <w:r w:rsidR="00855BC4">
        <w:rPr>
          <w:rFonts w:ascii="Century Schoolbook" w:hAnsi="Century Schoolbook"/>
        </w:rPr>
        <w:t xml:space="preserve"> </w:t>
      </w:r>
      <w:r w:rsidR="00511B11">
        <w:rPr>
          <w:rFonts w:ascii="Century Schoolbook" w:hAnsi="Century Schoolbook"/>
        </w:rPr>
        <w:t>hire</w:t>
      </w:r>
      <w:r w:rsidRPr="002A2C7E">
        <w:rPr>
          <w:rFonts w:ascii="Century Schoolbook" w:hAnsi="Century Schoolbook"/>
        </w:rPr>
        <w:t xml:space="preserve">, ninety-five years from its first publication, copyrights </w:t>
      </w:r>
      <w:r w:rsidRPr="002A2C7E">
        <w:rPr>
          <w:rFonts w:ascii="Century Schoolbook" w:hAnsi="Century Schoolbook"/>
          <w:i/>
        </w:rPr>
        <w:t>do</w:t>
      </w:r>
      <w:r w:rsidRPr="002A2C7E">
        <w:rPr>
          <w:rFonts w:ascii="Century Schoolbook" w:hAnsi="Century Schoolbook"/>
        </w:rPr>
        <w:t xml:space="preserve"> eventually expire. </w:t>
      </w:r>
      <w:r w:rsidRPr="002A2C7E">
        <w:rPr>
          <w:rFonts w:ascii="Century Schoolbook" w:hAnsi="Century Schoolbook"/>
          <w:i/>
        </w:rPr>
        <w:t>See</w:t>
      </w:r>
      <w:r w:rsidRPr="002A2C7E">
        <w:rPr>
          <w:rFonts w:ascii="Century Schoolbook" w:hAnsi="Century Schoolbook"/>
        </w:rPr>
        <w:t xml:space="preserve"> 17 U.S.C § 302</w:t>
      </w:r>
      <w:r w:rsidR="00F45A7D">
        <w:rPr>
          <w:rFonts w:ascii="Century Schoolbook" w:hAnsi="Century Schoolbook"/>
        </w:rPr>
        <w:t xml:space="preserve"> </w:t>
      </w:r>
      <w:r w:rsidR="00F45A7D">
        <w:t>(setting expiration time of copyright for works made for hire)</w:t>
      </w:r>
      <w:r w:rsidRPr="002A2C7E">
        <w:rPr>
          <w:rFonts w:ascii="Century Schoolbook" w:hAnsi="Century Schoolbook"/>
        </w:rPr>
        <w:t xml:space="preserve">. When copyrights expire, works enter the public domain and become free for all to “copy and use.” </w:t>
      </w:r>
      <w:proofErr w:type="spellStart"/>
      <w:r w:rsidRPr="002A2C7E">
        <w:rPr>
          <w:rFonts w:ascii="Century Schoolbook" w:hAnsi="Century Schoolbook"/>
          <w:i/>
          <w:iCs/>
        </w:rPr>
        <w:t>Dastar</w:t>
      </w:r>
      <w:proofErr w:type="spellEnd"/>
      <w:r w:rsidRPr="002A2C7E">
        <w:rPr>
          <w:rFonts w:ascii="Century Schoolbook" w:hAnsi="Century Schoolbook"/>
        </w:rPr>
        <w:t xml:space="preserve">, 539 U.S. at 34 (quoting </w:t>
      </w:r>
      <w:r w:rsidRPr="002A2C7E">
        <w:rPr>
          <w:rFonts w:ascii="Century Schoolbook" w:hAnsi="Century Schoolbook"/>
          <w:i/>
          <w:iCs/>
        </w:rPr>
        <w:t>Bonito Boats v. Thunder Craft Boats</w:t>
      </w:r>
      <w:r w:rsidRPr="002A2C7E">
        <w:rPr>
          <w:rFonts w:ascii="Century Schoolbook" w:hAnsi="Century Schoolbook"/>
        </w:rPr>
        <w:t>, 489 U.S. 141,</w:t>
      </w:r>
      <w:r w:rsidRPr="002A2C7E">
        <w:rPr>
          <w:rFonts w:ascii="Century Schoolbook" w:hAnsi="Century Schoolbook"/>
          <w:i/>
          <w:iCs/>
        </w:rPr>
        <w:t xml:space="preserve"> </w:t>
      </w:r>
      <w:r w:rsidRPr="002A2C7E">
        <w:rPr>
          <w:rFonts w:ascii="Century Schoolbook" w:hAnsi="Century Schoolbook"/>
        </w:rPr>
        <w:t>165 (1989)).</w:t>
      </w:r>
    </w:p>
    <w:p w14:paraId="5C553014" w14:textId="77777777" w:rsidR="007B1E98" w:rsidRPr="002A2C7E" w:rsidRDefault="007B1E98" w:rsidP="00087DE3">
      <w:pPr>
        <w:spacing w:after="0" w:line="240" w:lineRule="auto"/>
        <w:ind w:firstLine="720"/>
        <w:jc w:val="both"/>
        <w:rPr>
          <w:rFonts w:ascii="Century Schoolbook" w:hAnsi="Century Schoolbook"/>
        </w:rPr>
      </w:pPr>
    </w:p>
    <w:p w14:paraId="163ED1E5" w14:textId="2B5DB3DC"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Trademark protection can extend to names, logos, colors, and visual characters. </w:t>
      </w:r>
      <w:r w:rsidRPr="002A2C7E">
        <w:rPr>
          <w:rFonts w:ascii="Century Schoolbook" w:hAnsi="Century Schoolbook"/>
          <w:i/>
        </w:rPr>
        <w:t>See</w:t>
      </w:r>
      <w:r w:rsidRPr="00953BB2">
        <w:rPr>
          <w:rFonts w:ascii="Century Schoolbook" w:hAnsi="Century Schoolbook"/>
        </w:rPr>
        <w:t>,</w:t>
      </w:r>
      <w:r w:rsidRPr="002A2C7E">
        <w:rPr>
          <w:rFonts w:ascii="Century Schoolbook" w:hAnsi="Century Schoolbook"/>
          <w:i/>
        </w:rPr>
        <w:t xml:space="preserve"> e.g.</w:t>
      </w:r>
      <w:r w:rsidRPr="00953BB2">
        <w:rPr>
          <w:rFonts w:ascii="Century Schoolbook" w:hAnsi="Century Schoolbook"/>
          <w:i/>
        </w:rPr>
        <w:t>,</w:t>
      </w:r>
      <w:r w:rsidRPr="002A2C7E">
        <w:rPr>
          <w:rFonts w:ascii="Century Schoolbook" w:hAnsi="Century Schoolbook"/>
          <w:i/>
        </w:rPr>
        <w:t xml:space="preserve"> </w:t>
      </w:r>
      <w:proofErr w:type="spellStart"/>
      <w:r w:rsidRPr="002A2C7E">
        <w:rPr>
          <w:rFonts w:ascii="Century Schoolbook" w:hAnsi="Century Schoolbook"/>
          <w:i/>
        </w:rPr>
        <w:t>Qualitex</w:t>
      </w:r>
      <w:proofErr w:type="spellEnd"/>
      <w:r w:rsidRPr="002A2C7E">
        <w:rPr>
          <w:rFonts w:ascii="Century Schoolbook" w:hAnsi="Century Schoolbook"/>
          <w:i/>
        </w:rPr>
        <w:t xml:space="preserve"> Co. v. Jacobson Prods. Co.</w:t>
      </w:r>
      <w:r w:rsidRPr="002A2C7E">
        <w:rPr>
          <w:rFonts w:ascii="Century Schoolbook" w:hAnsi="Century Schoolbook"/>
        </w:rPr>
        <w:t xml:space="preserve">, 514 U.S. 159, 161–62 (1995) (holding that words, names, symbols, and sometimes colors can be trademarked); </w:t>
      </w:r>
      <w:r w:rsidRPr="002A2C7E">
        <w:rPr>
          <w:rFonts w:ascii="Century Schoolbook" w:eastAsia="Times New Roman" w:hAnsi="Century Schoolbook"/>
          <w:i/>
          <w:color w:val="000000"/>
          <w:bdr w:val="none" w:sz="0" w:space="0" w:color="auto" w:frame="1"/>
        </w:rPr>
        <w:t>Warner Bros. Ent</w:t>
      </w:r>
      <w:r w:rsidR="00855BC4">
        <w:rPr>
          <w:rFonts w:ascii="Century Schoolbook" w:eastAsia="Times New Roman" w:hAnsi="Century Schoolbook"/>
          <w:i/>
          <w:color w:val="000000"/>
          <w:bdr w:val="none" w:sz="0" w:space="0" w:color="auto" w:frame="1"/>
        </w:rPr>
        <w:t>.</w:t>
      </w:r>
      <w:r w:rsidRPr="002A2C7E">
        <w:rPr>
          <w:rFonts w:ascii="Century Schoolbook" w:eastAsia="Times New Roman" w:hAnsi="Century Schoolbook"/>
          <w:i/>
          <w:color w:val="000000"/>
          <w:bdr w:val="none" w:sz="0" w:space="0" w:color="auto" w:frame="1"/>
        </w:rPr>
        <w:t xml:space="preserve"> v. X One X Prods.</w:t>
      </w:r>
      <w:r w:rsidRPr="002A2C7E">
        <w:rPr>
          <w:rFonts w:ascii="Century Schoolbook" w:eastAsia="Times New Roman" w:hAnsi="Century Schoolbook"/>
          <w:color w:val="000000"/>
          <w:bdr w:val="none" w:sz="0" w:space="0" w:color="auto" w:frame="1"/>
        </w:rPr>
        <w:t>, 840 F.3d 971, 980 (8th Cir. 2016) (accepting, without question, that Warner Bros</w:t>
      </w:r>
      <w:r w:rsidR="0017316A">
        <w:rPr>
          <w:rFonts w:ascii="Century Schoolbook" w:eastAsia="Times New Roman" w:hAnsi="Century Schoolbook"/>
          <w:color w:val="000000"/>
          <w:bdr w:val="none" w:sz="0" w:space="0" w:color="auto" w:frame="1"/>
        </w:rPr>
        <w:t>.</w:t>
      </w:r>
      <w:r w:rsidRPr="002A2C7E">
        <w:rPr>
          <w:rFonts w:ascii="Century Schoolbook" w:eastAsia="Times New Roman" w:hAnsi="Century Schoolbook"/>
          <w:color w:val="000000"/>
          <w:bdr w:val="none" w:sz="0" w:space="0" w:color="auto" w:frame="1"/>
        </w:rPr>
        <w:t xml:space="preserve"> could have trademarks in characters such as the cartoons Tom and Jerry); </w:t>
      </w:r>
      <w:r w:rsidRPr="002A2C7E">
        <w:rPr>
          <w:rFonts w:ascii="Century Schoolbook" w:eastAsia="Times New Roman" w:hAnsi="Century Schoolbook"/>
          <w:i/>
          <w:color w:val="000000"/>
          <w:bdr w:val="none" w:sz="0" w:space="0" w:color="auto" w:frame="1"/>
        </w:rPr>
        <w:t>see also</w:t>
      </w:r>
      <w:r w:rsidRPr="002A2C7E">
        <w:rPr>
          <w:rFonts w:ascii="Century Schoolbook" w:eastAsia="Times New Roman" w:hAnsi="Century Schoolbook"/>
          <w:color w:val="000000"/>
          <w:bdr w:val="none" w:sz="0" w:space="0" w:color="auto" w:frame="1"/>
        </w:rPr>
        <w:t xml:space="preserve"> </w:t>
      </w:r>
      <w:r w:rsidRPr="002A2C7E">
        <w:rPr>
          <w:rFonts w:ascii="Century Schoolbook" w:hAnsi="Century Schoolbook"/>
          <w:i/>
        </w:rPr>
        <w:t>Warner Bros., Inc. v. Gay Toys, Inc.</w:t>
      </w:r>
      <w:r w:rsidRPr="002A2C7E">
        <w:rPr>
          <w:rFonts w:ascii="Century Schoolbook" w:hAnsi="Century Schoolbook"/>
        </w:rPr>
        <w:t xml:space="preserve">, 658 F.2d 76, 78 (2d Cir. 1981) (finding that trademark protection existed within the appearance of a distinctive car from the television show “The Dukes of Hazard”). These same characters can also receive copyright protection, not only because the characters are depicted in works that are protected by copyright, but because the characters themselves may receive independent copyright protection. </w:t>
      </w:r>
      <w:r w:rsidRPr="002A2C7E">
        <w:rPr>
          <w:rFonts w:ascii="Century Schoolbook" w:hAnsi="Century Schoolbook"/>
          <w:i/>
          <w:iCs/>
        </w:rPr>
        <w:t xml:space="preserve">See </w:t>
      </w:r>
      <w:r w:rsidRPr="002A2C7E">
        <w:rPr>
          <w:rFonts w:ascii="Century Schoolbook" w:hAnsi="Century Schoolbook"/>
          <w:i/>
        </w:rPr>
        <w:t>Walt Disney Prods. v. Air Pirates</w:t>
      </w:r>
      <w:r w:rsidRPr="002A2C7E">
        <w:rPr>
          <w:rFonts w:ascii="Century Schoolbook" w:hAnsi="Century Schoolbook"/>
        </w:rPr>
        <w:t>, 581 F.2d 751, 754 (9th Cir. 1978) (finding that appropriation of the appearance of Mickey Mouse was copyright infringement, even though the work was otherwise unrelated in plot and characterization).</w:t>
      </w:r>
    </w:p>
    <w:p w14:paraId="44C9C115" w14:textId="77777777" w:rsidR="007B1E98" w:rsidRPr="002A2C7E" w:rsidRDefault="007B1E98" w:rsidP="00087DE3">
      <w:pPr>
        <w:spacing w:after="0" w:line="240" w:lineRule="auto"/>
        <w:ind w:firstLine="720"/>
        <w:jc w:val="both"/>
        <w:rPr>
          <w:rFonts w:ascii="Century Schoolbook" w:hAnsi="Century Schoolbook"/>
        </w:rPr>
      </w:pPr>
    </w:p>
    <w:p w14:paraId="03070501" w14:textId="73EBBF6D" w:rsidR="00E10AB7" w:rsidRDefault="00E10AB7" w:rsidP="007B1E98">
      <w:pPr>
        <w:spacing w:after="0" w:line="240" w:lineRule="auto"/>
        <w:jc w:val="center"/>
        <w:rPr>
          <w:rFonts w:ascii="Century Schoolbook" w:hAnsi="Century Schoolbook"/>
          <w:b/>
          <w:u w:val="single"/>
        </w:rPr>
      </w:pPr>
      <w:r w:rsidRPr="002A2C7E">
        <w:rPr>
          <w:rFonts w:ascii="Century Schoolbook" w:hAnsi="Century Schoolbook"/>
          <w:b/>
          <w:u w:val="single"/>
        </w:rPr>
        <w:t>SUMMARY</w:t>
      </w:r>
    </w:p>
    <w:p w14:paraId="361BA5EB" w14:textId="77777777" w:rsidR="007B1E98" w:rsidRPr="002A2C7E" w:rsidRDefault="007B1E98" w:rsidP="00087DE3">
      <w:pPr>
        <w:spacing w:after="0" w:line="240" w:lineRule="auto"/>
        <w:jc w:val="center"/>
        <w:rPr>
          <w:rFonts w:ascii="Century Schoolbook" w:hAnsi="Century Schoolbook"/>
          <w:b/>
          <w:u w:val="single"/>
        </w:rPr>
      </w:pPr>
    </w:p>
    <w:p w14:paraId="3F579D6D" w14:textId="03EC043C"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The central problem in this case is what happens when a character, protected by both trademark and copyright, enters the copyright public domain. Can the owner of the trademark continue to assert their trademark? May they assert it even for what is essentially reproducing the public domain work with alterations?</w:t>
      </w:r>
    </w:p>
    <w:p w14:paraId="106B359C" w14:textId="77777777" w:rsidR="007B1E98" w:rsidRPr="002A2C7E" w:rsidRDefault="007B1E98" w:rsidP="00087DE3">
      <w:pPr>
        <w:spacing w:after="0" w:line="240" w:lineRule="auto"/>
        <w:ind w:firstLine="720"/>
        <w:jc w:val="both"/>
        <w:rPr>
          <w:rFonts w:ascii="Century Schoolbook" w:hAnsi="Century Schoolbook"/>
        </w:rPr>
      </w:pPr>
    </w:p>
    <w:p w14:paraId="1F3F42EE" w14:textId="1335A73D"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For the purpose of this problem, it is accepted that if there are no special limiting principles from any of the cases discussed below, there will be confusion over sponsorship </w:t>
      </w:r>
      <w:r w:rsidR="004F3401">
        <w:rPr>
          <w:rFonts w:ascii="Century Schoolbook" w:hAnsi="Century Schoolbook"/>
        </w:rPr>
        <w:t>in the case at hand</w:t>
      </w:r>
      <w:r w:rsidRPr="002A2C7E">
        <w:rPr>
          <w:rFonts w:ascii="Century Schoolbook" w:hAnsi="Century Schoolbook"/>
        </w:rPr>
        <w:t>, thus</w:t>
      </w:r>
      <w:r w:rsidR="004F3401">
        <w:rPr>
          <w:rFonts w:ascii="Century Schoolbook" w:hAnsi="Century Schoolbook"/>
        </w:rPr>
        <w:t xml:space="preserve"> constituting</w:t>
      </w:r>
      <w:r w:rsidRPr="002A2C7E">
        <w:rPr>
          <w:rFonts w:ascii="Century Schoolbook" w:hAnsi="Century Schoolbook"/>
        </w:rPr>
        <w:t xml:space="preserve"> trademark infringement</w:t>
      </w:r>
      <w:r w:rsidR="004F3401">
        <w:rPr>
          <w:rFonts w:ascii="Century Schoolbook" w:hAnsi="Century Schoolbook"/>
        </w:rPr>
        <w:t xml:space="preserve"> by </w:t>
      </w:r>
      <w:proofErr w:type="spellStart"/>
      <w:r w:rsidR="004F3401">
        <w:rPr>
          <w:rFonts w:ascii="Century Schoolbook" w:hAnsi="Century Schoolbook"/>
        </w:rPr>
        <w:t>Dentop</w:t>
      </w:r>
      <w:proofErr w:type="spellEnd"/>
      <w:r w:rsidR="004F3401">
        <w:rPr>
          <w:rFonts w:ascii="Century Schoolbook" w:hAnsi="Century Schoolbook"/>
        </w:rPr>
        <w:t xml:space="preserve"> Studios (“</w:t>
      </w:r>
      <w:proofErr w:type="spellStart"/>
      <w:r w:rsidR="004F3401">
        <w:rPr>
          <w:rFonts w:ascii="Century Schoolbook" w:hAnsi="Century Schoolbook"/>
        </w:rPr>
        <w:t>Dentop</w:t>
      </w:r>
      <w:proofErr w:type="spellEnd"/>
      <w:r w:rsidR="004F3401">
        <w:rPr>
          <w:rFonts w:ascii="Century Schoolbook" w:hAnsi="Century Schoolbook"/>
        </w:rPr>
        <w:t>”)</w:t>
      </w:r>
      <w:r w:rsidRPr="002A2C7E">
        <w:rPr>
          <w:rFonts w:ascii="Century Schoolbook" w:hAnsi="Century Schoolbook"/>
        </w:rPr>
        <w:t xml:space="preserve">. In other words, the parties should not argue over the various factors involved when determining if there is a likelihood of confusion. However, </w:t>
      </w:r>
      <w:proofErr w:type="spellStart"/>
      <w:proofErr w:type="gramStart"/>
      <w:r w:rsidR="00087DE3">
        <w:rPr>
          <w:rFonts w:ascii="Century Schoolbook" w:hAnsi="Century Schoolbook"/>
        </w:rPr>
        <w:t>Dentop</w:t>
      </w:r>
      <w:proofErr w:type="spellEnd"/>
      <w:r w:rsidR="00087DE3">
        <w:rPr>
          <w:rFonts w:ascii="Century Schoolbook" w:hAnsi="Century Schoolbook"/>
        </w:rPr>
        <w:t xml:space="preserve"> </w:t>
      </w:r>
      <w:r w:rsidRPr="002A2C7E">
        <w:rPr>
          <w:rFonts w:ascii="Century Schoolbook" w:hAnsi="Century Schoolbook"/>
        </w:rPr>
        <w:t xml:space="preserve"> is</w:t>
      </w:r>
      <w:proofErr w:type="gramEnd"/>
      <w:r w:rsidRPr="002A2C7E">
        <w:rPr>
          <w:rFonts w:ascii="Century Schoolbook" w:hAnsi="Century Schoolbook"/>
        </w:rPr>
        <w:t xml:space="preserve"> free to argue that confusion over sponsorship is categorically inapplicable in this </w:t>
      </w:r>
      <w:r w:rsidR="00087DE3">
        <w:rPr>
          <w:rFonts w:ascii="Century Schoolbook" w:hAnsi="Century Schoolbook"/>
        </w:rPr>
        <w:t>case</w:t>
      </w:r>
      <w:r w:rsidRPr="002A2C7E">
        <w:rPr>
          <w:rFonts w:ascii="Century Schoolbook" w:hAnsi="Century Schoolbook"/>
        </w:rPr>
        <w:t>.</w:t>
      </w:r>
    </w:p>
    <w:p w14:paraId="3D83CF3F" w14:textId="77777777" w:rsidR="007B1E98" w:rsidRPr="002A2C7E" w:rsidRDefault="007B1E98" w:rsidP="00087DE3">
      <w:pPr>
        <w:spacing w:after="0" w:line="240" w:lineRule="auto"/>
        <w:ind w:firstLine="720"/>
        <w:jc w:val="both"/>
        <w:rPr>
          <w:rFonts w:ascii="Century Schoolbook" w:hAnsi="Century Schoolbook"/>
        </w:rPr>
      </w:pPr>
    </w:p>
    <w:p w14:paraId="58F77741" w14:textId="06570353"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Appellee, The Pilton Company (“Pilton”), will argue that the trademark protection should continue to exist normally, even if that means the work </w:t>
      </w:r>
      <w:r w:rsidRPr="002A2C7E">
        <w:rPr>
          <w:rFonts w:ascii="Century Schoolbook" w:hAnsi="Century Schoolbook"/>
          <w:i/>
        </w:rPr>
        <w:t>de facto</w:t>
      </w:r>
      <w:r w:rsidRPr="002A2C7E">
        <w:rPr>
          <w:rFonts w:ascii="Century Schoolbook" w:hAnsi="Century Schoolbook"/>
        </w:rPr>
        <w:t xml:space="preserve"> does not enter the public domain. Appellee’s central argument will likely be that the two regimes are independent forms of protection, each with their own purposes. Copyrights exist to promote innovation in the arts. U.S. Const. art.</w:t>
      </w:r>
      <w:r w:rsidR="000F2C85">
        <w:rPr>
          <w:rFonts w:ascii="Century Schoolbook" w:hAnsi="Century Schoolbook"/>
        </w:rPr>
        <w:t> </w:t>
      </w:r>
      <w:r w:rsidRPr="002A2C7E">
        <w:rPr>
          <w:rFonts w:ascii="Century Schoolbook" w:hAnsi="Century Schoolbook"/>
        </w:rPr>
        <w:t>I, §</w:t>
      </w:r>
      <w:r w:rsidR="000F2C85">
        <w:rPr>
          <w:rFonts w:ascii="Century Schoolbook" w:hAnsi="Century Schoolbook"/>
        </w:rPr>
        <w:t> </w:t>
      </w:r>
      <w:r w:rsidRPr="002A2C7E">
        <w:rPr>
          <w:rFonts w:ascii="Century Schoolbook" w:hAnsi="Century Schoolbook"/>
        </w:rPr>
        <w:t>8, cl.</w:t>
      </w:r>
      <w:r w:rsidR="000F2C85">
        <w:rPr>
          <w:rFonts w:ascii="Century Schoolbook" w:hAnsi="Century Schoolbook"/>
        </w:rPr>
        <w:t> </w:t>
      </w:r>
      <w:r w:rsidRPr="002A2C7E">
        <w:rPr>
          <w:rFonts w:ascii="Century Schoolbook" w:hAnsi="Century Schoolbook"/>
        </w:rPr>
        <w:t xml:space="preserve">8. Trademarks, on the other hand, exist to promote investment in brands and prevent consumer confusion, among other purposes. </w:t>
      </w:r>
      <w:bookmarkStart w:id="3" w:name="_Hlk51052282"/>
      <w:r w:rsidRPr="002A2C7E">
        <w:rPr>
          <w:rFonts w:ascii="Century Schoolbook" w:hAnsi="Century Schoolbook"/>
          <w:i/>
        </w:rPr>
        <w:t>See</w:t>
      </w:r>
      <w:r w:rsidRPr="002A2C7E">
        <w:rPr>
          <w:rFonts w:ascii="Century Schoolbook" w:hAnsi="Century Schoolbook"/>
        </w:rPr>
        <w:t xml:space="preserve"> J. Thomas McCarthy, </w:t>
      </w:r>
      <w:r w:rsidRPr="002A2C7E">
        <w:rPr>
          <w:rFonts w:ascii="Century Schoolbook" w:hAnsi="Century Schoolbook"/>
          <w:i/>
          <w:iCs/>
        </w:rPr>
        <w:t>McCarthy on Trademarks and Unfair Competition</w:t>
      </w:r>
      <w:r w:rsidRPr="002A2C7E">
        <w:rPr>
          <w:rFonts w:ascii="Century Schoolbook" w:hAnsi="Century Schoolbook"/>
        </w:rPr>
        <w:t xml:space="preserve"> §</w:t>
      </w:r>
      <w:r w:rsidR="000F2C85">
        <w:rPr>
          <w:rFonts w:ascii="Century Schoolbook" w:hAnsi="Century Schoolbook"/>
        </w:rPr>
        <w:t> </w:t>
      </w:r>
      <w:r w:rsidRPr="002A2C7E">
        <w:rPr>
          <w:rFonts w:ascii="Century Schoolbook" w:hAnsi="Century Schoolbook"/>
        </w:rPr>
        <w:t>2:2 (</w:t>
      </w:r>
      <w:r w:rsidR="00166AD2">
        <w:rPr>
          <w:rFonts w:ascii="Century Schoolbook" w:hAnsi="Century Schoolbook"/>
        </w:rPr>
        <w:t xml:space="preserve">5th ed. </w:t>
      </w:r>
      <w:r w:rsidRPr="002A2C7E">
        <w:rPr>
          <w:rFonts w:ascii="Century Schoolbook" w:hAnsi="Century Schoolbook"/>
        </w:rPr>
        <w:t>2020)</w:t>
      </w:r>
      <w:bookmarkEnd w:id="3"/>
      <w:r w:rsidRPr="002A2C7E">
        <w:rPr>
          <w:rFonts w:ascii="Century Schoolbook" w:hAnsi="Century Schoolbook"/>
        </w:rPr>
        <w:t xml:space="preserve"> (“Trademark law serves to protect consumers from deception and confusion over trademarks as well as to protect the plaintiff’s infringed trademark as property.”)</w:t>
      </w:r>
    </w:p>
    <w:p w14:paraId="0E8153E4" w14:textId="77777777" w:rsidR="007B1E98" w:rsidRPr="002A2C7E" w:rsidRDefault="007B1E98" w:rsidP="00166AD2">
      <w:pPr>
        <w:spacing w:after="0" w:line="240" w:lineRule="auto"/>
        <w:ind w:firstLine="720"/>
        <w:jc w:val="both"/>
        <w:rPr>
          <w:rFonts w:ascii="Century Schoolbook" w:hAnsi="Century Schoolbook"/>
        </w:rPr>
      </w:pPr>
    </w:p>
    <w:p w14:paraId="28A6EDCE" w14:textId="7E305816"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Appellant’s main argument will likely be that allowing the trademark to survive the expiration of the underlying copyright not only undermines the policies related to the public domain, but also turns the trademark into an impermissible eternal copyright. Copyright law embodies a “carefully crafted bargain” where the author receives a monopoly in return for eventually giving the work to the public. </w:t>
      </w:r>
      <w:proofErr w:type="spellStart"/>
      <w:r w:rsidRPr="002A2C7E">
        <w:rPr>
          <w:rFonts w:ascii="Century Schoolbook" w:hAnsi="Century Schoolbook"/>
          <w:i/>
        </w:rPr>
        <w:t>Dastar</w:t>
      </w:r>
      <w:proofErr w:type="spellEnd"/>
      <w:r w:rsidRPr="002A2C7E">
        <w:rPr>
          <w:rFonts w:ascii="Century Schoolbook" w:hAnsi="Century Schoolbook"/>
          <w:i/>
        </w:rPr>
        <w:t xml:space="preserve"> Corp. v. Twentieth Century Fox Film Corp.</w:t>
      </w:r>
      <w:r w:rsidRPr="002A2C7E">
        <w:rPr>
          <w:rFonts w:ascii="Century Schoolbook" w:hAnsi="Century Schoolbook"/>
          <w:iCs/>
        </w:rPr>
        <w:t>,</w:t>
      </w:r>
      <w:r w:rsidRPr="002A2C7E">
        <w:rPr>
          <w:rFonts w:ascii="Century Schoolbook" w:hAnsi="Century Schoolbook"/>
          <w:i/>
        </w:rPr>
        <w:t xml:space="preserve"> </w:t>
      </w:r>
      <w:r w:rsidRPr="002A2C7E">
        <w:rPr>
          <w:rFonts w:ascii="Century Schoolbook" w:hAnsi="Century Schoolbook"/>
        </w:rPr>
        <w:t>539 U.S. 23, 33–34 (2003). Allowing the author to continue to exert control over the work thus impermissibly violates this bargain.</w:t>
      </w:r>
    </w:p>
    <w:p w14:paraId="1FB04805" w14:textId="77777777" w:rsidR="007B1E98" w:rsidRPr="002A2C7E" w:rsidRDefault="007B1E98" w:rsidP="00166AD2">
      <w:pPr>
        <w:spacing w:after="0" w:line="240" w:lineRule="auto"/>
        <w:ind w:firstLine="720"/>
        <w:jc w:val="both"/>
        <w:rPr>
          <w:rFonts w:ascii="Century Schoolbook" w:hAnsi="Century Schoolbook"/>
        </w:rPr>
      </w:pPr>
    </w:p>
    <w:p w14:paraId="26FDAE9C" w14:textId="01073690"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The leading Supreme Court case on this topic is </w:t>
      </w:r>
      <w:proofErr w:type="spellStart"/>
      <w:r w:rsidRPr="002A2C7E">
        <w:rPr>
          <w:rFonts w:ascii="Century Schoolbook" w:hAnsi="Century Schoolbook"/>
          <w:i/>
        </w:rPr>
        <w:t>Dastar</w:t>
      </w:r>
      <w:proofErr w:type="spellEnd"/>
      <w:r w:rsidRPr="002A2C7E">
        <w:rPr>
          <w:rFonts w:ascii="Century Schoolbook" w:hAnsi="Century Schoolbook"/>
        </w:rPr>
        <w:t xml:space="preserve">. In </w:t>
      </w:r>
      <w:proofErr w:type="spellStart"/>
      <w:r w:rsidR="00E458D1" w:rsidRPr="008F640F">
        <w:rPr>
          <w:rFonts w:ascii="Century Schoolbook" w:hAnsi="Century Schoolbook"/>
          <w:i/>
          <w:iCs/>
        </w:rPr>
        <w:t>Dastar</w:t>
      </w:r>
      <w:proofErr w:type="spellEnd"/>
      <w:r w:rsidRPr="002A2C7E">
        <w:rPr>
          <w:rFonts w:ascii="Century Schoolbook" w:hAnsi="Century Schoolbook"/>
        </w:rPr>
        <w:t xml:space="preserve">, Twentieth Century Fox produced a documentary series, based </w:t>
      </w:r>
      <w:r w:rsidR="00E458D1">
        <w:rPr>
          <w:rFonts w:ascii="Century Schoolbook" w:hAnsi="Century Schoolbook"/>
        </w:rPr>
        <w:t>on</w:t>
      </w:r>
      <w:r w:rsidRPr="002A2C7E">
        <w:rPr>
          <w:rFonts w:ascii="Century Schoolbook" w:hAnsi="Century Schoolbook"/>
        </w:rPr>
        <w:t xml:space="preserve"> a book which </w:t>
      </w:r>
      <w:r w:rsidR="00E458D1">
        <w:rPr>
          <w:rFonts w:ascii="Century Schoolbook" w:hAnsi="Century Schoolbook"/>
        </w:rPr>
        <w:t xml:space="preserve">had </w:t>
      </w:r>
      <w:r w:rsidRPr="002A2C7E">
        <w:rPr>
          <w:rFonts w:ascii="Century Schoolbook" w:hAnsi="Century Schoolbook"/>
        </w:rPr>
        <w:t xml:space="preserve">entered the public domain. </w:t>
      </w:r>
      <w:r w:rsidRPr="002A2C7E">
        <w:rPr>
          <w:rFonts w:ascii="Century Schoolbook" w:hAnsi="Century Schoolbook"/>
          <w:iCs/>
        </w:rPr>
        <w:t>539</w:t>
      </w:r>
      <w:r w:rsidR="000F2C85">
        <w:rPr>
          <w:rFonts w:ascii="Century Schoolbook" w:hAnsi="Century Schoolbook"/>
          <w:iCs/>
        </w:rPr>
        <w:t> </w:t>
      </w:r>
      <w:r w:rsidRPr="002A2C7E">
        <w:rPr>
          <w:rFonts w:ascii="Century Schoolbook" w:hAnsi="Century Schoolbook"/>
          <w:iCs/>
        </w:rPr>
        <w:t>U.S.</w:t>
      </w:r>
      <w:r w:rsidRPr="002A2C7E">
        <w:rPr>
          <w:rFonts w:ascii="Century Schoolbook" w:hAnsi="Century Schoolbook"/>
        </w:rPr>
        <w:t xml:space="preserve"> at 25–26. </w:t>
      </w:r>
      <w:r w:rsidR="00E458D1">
        <w:rPr>
          <w:rFonts w:ascii="Century Schoolbook" w:hAnsi="Century Schoolbook"/>
        </w:rPr>
        <w:t xml:space="preserve">The </w:t>
      </w:r>
      <w:proofErr w:type="spellStart"/>
      <w:r w:rsidRPr="002A2C7E">
        <w:rPr>
          <w:rFonts w:ascii="Century Schoolbook" w:hAnsi="Century Schoolbook"/>
        </w:rPr>
        <w:t>Dastar</w:t>
      </w:r>
      <w:proofErr w:type="spellEnd"/>
      <w:r w:rsidRPr="002A2C7E">
        <w:rPr>
          <w:rFonts w:ascii="Century Schoolbook" w:hAnsi="Century Schoolbook"/>
        </w:rPr>
        <w:t xml:space="preserve"> </w:t>
      </w:r>
      <w:r w:rsidR="00415566">
        <w:rPr>
          <w:rFonts w:ascii="Century Schoolbook" w:hAnsi="Century Schoolbook"/>
        </w:rPr>
        <w:t xml:space="preserve">Corporation </w:t>
      </w:r>
      <w:r w:rsidRPr="002A2C7E">
        <w:rPr>
          <w:rFonts w:ascii="Century Schoolbook" w:hAnsi="Century Schoolbook"/>
        </w:rPr>
        <w:t>published the documentary under its own name, making edits such as changing the title, adding introductions to the various chapters</w:t>
      </w:r>
      <w:r w:rsidR="000F2C85">
        <w:rPr>
          <w:rFonts w:ascii="Century Schoolbook" w:hAnsi="Century Schoolbook"/>
        </w:rPr>
        <w:t>,</w:t>
      </w:r>
      <w:r w:rsidRPr="002A2C7E">
        <w:rPr>
          <w:rFonts w:ascii="Century Schoolbook" w:hAnsi="Century Schoolbook"/>
        </w:rPr>
        <w:t xml:space="preserve"> and removing references to other works which were still under copyright. </w:t>
      </w:r>
      <w:r w:rsidRPr="002A2C7E">
        <w:rPr>
          <w:rFonts w:ascii="Century Schoolbook" w:hAnsi="Century Schoolbook"/>
          <w:i/>
        </w:rPr>
        <w:t>Id</w:t>
      </w:r>
      <w:r w:rsidRPr="002A2C7E">
        <w:rPr>
          <w:rFonts w:ascii="Century Schoolbook" w:hAnsi="Century Schoolbook"/>
        </w:rPr>
        <w:t xml:space="preserve">. at 26–27. The plaintiffs sued </w:t>
      </w:r>
      <w:proofErr w:type="spellStart"/>
      <w:r w:rsidRPr="002A2C7E">
        <w:rPr>
          <w:rFonts w:ascii="Century Schoolbook" w:hAnsi="Century Schoolbook"/>
        </w:rPr>
        <w:t>Dastar</w:t>
      </w:r>
      <w:proofErr w:type="spellEnd"/>
      <w:r w:rsidRPr="002A2C7E">
        <w:rPr>
          <w:rFonts w:ascii="Century Schoolbook" w:hAnsi="Century Schoolbook"/>
        </w:rPr>
        <w:t xml:space="preserve"> for trademark infringement as they had subsequently </w:t>
      </w:r>
      <w:r w:rsidR="005F3C54">
        <w:rPr>
          <w:rFonts w:ascii="Century Schoolbook" w:hAnsi="Century Schoolbook"/>
        </w:rPr>
        <w:t>re</w:t>
      </w:r>
      <w:r w:rsidRPr="002A2C7E">
        <w:rPr>
          <w:rFonts w:ascii="Century Schoolbook" w:hAnsi="Century Schoolbook"/>
        </w:rPr>
        <w:t xml:space="preserve">acquired the rights to the television adaptation of the book. </w:t>
      </w:r>
      <w:r w:rsidRPr="002A2C7E">
        <w:rPr>
          <w:rFonts w:ascii="Century Schoolbook" w:hAnsi="Century Schoolbook"/>
          <w:i/>
        </w:rPr>
        <w:t>Id</w:t>
      </w:r>
      <w:r w:rsidRPr="002A2C7E">
        <w:rPr>
          <w:rFonts w:ascii="Century Schoolbook" w:hAnsi="Century Schoolbook"/>
        </w:rPr>
        <w:t xml:space="preserve">. at 25–27. Specifically, they sued </w:t>
      </w:r>
      <w:proofErr w:type="spellStart"/>
      <w:r w:rsidRPr="002A2C7E">
        <w:rPr>
          <w:rFonts w:ascii="Century Schoolbook" w:hAnsi="Century Schoolbook"/>
        </w:rPr>
        <w:t>Dastar</w:t>
      </w:r>
      <w:proofErr w:type="spellEnd"/>
      <w:r w:rsidRPr="002A2C7E">
        <w:rPr>
          <w:rFonts w:ascii="Century Schoolbook" w:hAnsi="Century Schoolbook"/>
        </w:rPr>
        <w:t xml:space="preserve"> for “reverse passing off,” which is the act of selling another’s product as one’s own. </w:t>
      </w:r>
      <w:r w:rsidRPr="002A2C7E">
        <w:rPr>
          <w:rFonts w:ascii="Century Schoolbook" w:hAnsi="Century Schoolbook"/>
          <w:i/>
        </w:rPr>
        <w:t>Id</w:t>
      </w:r>
      <w:r w:rsidRPr="002A2C7E">
        <w:rPr>
          <w:rFonts w:ascii="Century Schoolbook" w:hAnsi="Century Schoolbook"/>
        </w:rPr>
        <w:t>.</w:t>
      </w:r>
      <w:r w:rsidR="000F2C85">
        <w:rPr>
          <w:rFonts w:ascii="Century Schoolbook" w:hAnsi="Century Schoolbook"/>
        </w:rPr>
        <w:t xml:space="preserve"> at 25</w:t>
      </w:r>
      <w:r w:rsidR="000F2C85" w:rsidRPr="002A2C7E">
        <w:rPr>
          <w:rFonts w:ascii="Century Schoolbook" w:hAnsi="Century Schoolbook"/>
        </w:rPr>
        <w:t>–27</w:t>
      </w:r>
      <w:r w:rsidRPr="002A2C7E">
        <w:rPr>
          <w:rFonts w:ascii="Century Schoolbook" w:hAnsi="Century Schoolbook"/>
        </w:rPr>
        <w:t xml:space="preserve"> </w:t>
      </w:r>
      <w:r w:rsidR="000F2C85">
        <w:rPr>
          <w:rFonts w:ascii="Century Schoolbook" w:hAnsi="Century Schoolbook"/>
        </w:rPr>
        <w:t xml:space="preserve">&amp; </w:t>
      </w:r>
      <w:r w:rsidRPr="002A2C7E">
        <w:rPr>
          <w:rFonts w:ascii="Century Schoolbook" w:hAnsi="Century Schoolbook"/>
        </w:rPr>
        <w:t xml:space="preserve">n.1. </w:t>
      </w:r>
    </w:p>
    <w:p w14:paraId="1CA055B1" w14:textId="77777777" w:rsidR="007B1E98" w:rsidRPr="002A2C7E" w:rsidRDefault="007B1E98" w:rsidP="00166AD2">
      <w:pPr>
        <w:spacing w:after="0" w:line="240" w:lineRule="auto"/>
        <w:ind w:firstLine="720"/>
        <w:jc w:val="both"/>
        <w:rPr>
          <w:rFonts w:ascii="Century Schoolbook" w:hAnsi="Century Schoolbook"/>
        </w:rPr>
      </w:pPr>
    </w:p>
    <w:p w14:paraId="6D20680B" w14:textId="29DD624A"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The Supreme Court soundly rejected the trademark claim. The direct holding was that the phrase “origin of goods” in the Lanham Act “refers to the producer of the tangible goods that are offered for sale, and not to the author of any idea, concept, or </w:t>
      </w:r>
      <w:r w:rsidRPr="002A2C7E">
        <w:rPr>
          <w:rFonts w:ascii="Century Schoolbook" w:hAnsi="Century Schoolbook"/>
        </w:rPr>
        <w:lastRenderedPageBreak/>
        <w:t xml:space="preserve">communication embodied in those goods.” </w:t>
      </w:r>
      <w:r w:rsidRPr="002A2C7E">
        <w:rPr>
          <w:rFonts w:ascii="Century Schoolbook" w:hAnsi="Century Schoolbook"/>
          <w:i/>
        </w:rPr>
        <w:t xml:space="preserve">Id. </w:t>
      </w:r>
      <w:r w:rsidRPr="002A2C7E">
        <w:rPr>
          <w:rFonts w:ascii="Century Schoolbook" w:hAnsi="Century Schoolbook"/>
        </w:rPr>
        <w:t xml:space="preserve">at 37. In other words, trademark does not grant protection against unauthorized copying. </w:t>
      </w:r>
    </w:p>
    <w:p w14:paraId="2D1068A2" w14:textId="77777777" w:rsidR="007B1E98" w:rsidRPr="002A2C7E" w:rsidRDefault="007B1E98" w:rsidP="00166AD2">
      <w:pPr>
        <w:spacing w:after="0" w:line="240" w:lineRule="auto"/>
        <w:ind w:firstLine="720"/>
        <w:jc w:val="both"/>
        <w:rPr>
          <w:rFonts w:ascii="Century Schoolbook" w:hAnsi="Century Schoolbook"/>
        </w:rPr>
      </w:pPr>
    </w:p>
    <w:p w14:paraId="0F4451E1" w14:textId="5AC15CAF"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One of the main reasons driving the Court’s decision was a fear that allowing trademark infringement in this situation would create “a species of mutant copyright law.” </w:t>
      </w:r>
      <w:r w:rsidRPr="002A2C7E">
        <w:rPr>
          <w:rFonts w:ascii="Century Schoolbook" w:hAnsi="Century Schoolbook"/>
          <w:i/>
        </w:rPr>
        <w:t>Id</w:t>
      </w:r>
      <w:r w:rsidRPr="002A2C7E">
        <w:rPr>
          <w:rFonts w:ascii="Century Schoolbook" w:hAnsi="Century Schoolbook"/>
        </w:rPr>
        <w:t xml:space="preserve">. at 34. Further, the Court stressed the importance of the copyright bargain, and was concerned over allowing trademark to disrupt the process of works entering the public domain. </w:t>
      </w:r>
      <w:r w:rsidRPr="002A2C7E">
        <w:rPr>
          <w:rFonts w:ascii="Century Schoolbook" w:hAnsi="Century Schoolbook"/>
          <w:i/>
          <w:iCs/>
        </w:rPr>
        <w:t>See</w:t>
      </w:r>
      <w:r w:rsidRPr="002A2C7E">
        <w:rPr>
          <w:rFonts w:ascii="Century Schoolbook" w:hAnsi="Century Schoolbook"/>
        </w:rPr>
        <w:t xml:space="preserve"> </w:t>
      </w:r>
      <w:r w:rsidRPr="002A2C7E">
        <w:rPr>
          <w:rFonts w:ascii="Century Schoolbook" w:hAnsi="Century Schoolbook"/>
          <w:i/>
        </w:rPr>
        <w:t>id</w:t>
      </w:r>
      <w:r w:rsidRPr="002A2C7E">
        <w:rPr>
          <w:rFonts w:ascii="Century Schoolbook" w:hAnsi="Century Schoolbook"/>
        </w:rPr>
        <w:t>. at 33–34.</w:t>
      </w:r>
    </w:p>
    <w:p w14:paraId="470D7992" w14:textId="77777777" w:rsidR="007B1E98" w:rsidRPr="002A2C7E" w:rsidRDefault="007B1E98" w:rsidP="00166AD2">
      <w:pPr>
        <w:spacing w:after="0" w:line="240" w:lineRule="auto"/>
        <w:ind w:firstLine="720"/>
        <w:jc w:val="both"/>
        <w:rPr>
          <w:rFonts w:ascii="Century Schoolbook" w:hAnsi="Century Schoolbook"/>
        </w:rPr>
      </w:pPr>
    </w:p>
    <w:p w14:paraId="4B05DD29" w14:textId="77CA5266" w:rsidR="00E10AB7" w:rsidRDefault="00EB67F1" w:rsidP="007B1E98">
      <w:pPr>
        <w:spacing w:after="0" w:line="240" w:lineRule="auto"/>
        <w:ind w:firstLine="720"/>
        <w:jc w:val="both"/>
        <w:rPr>
          <w:rFonts w:ascii="Century Schoolbook" w:hAnsi="Century Schoolbook"/>
        </w:rPr>
      </w:pPr>
      <w:r>
        <w:rPr>
          <w:rFonts w:ascii="Century Schoolbook" w:hAnsi="Century Schoolbook"/>
        </w:rPr>
        <w:t>Also, b</w:t>
      </w:r>
      <w:r w:rsidR="00E10AB7" w:rsidRPr="002A2C7E">
        <w:rPr>
          <w:rFonts w:ascii="Century Schoolbook" w:hAnsi="Century Schoolbook"/>
        </w:rPr>
        <w:t>oth parties will likely discuss cases dealing with the intersection of patent and trademark</w:t>
      </w:r>
      <w:r>
        <w:rPr>
          <w:rFonts w:ascii="Century Schoolbook" w:hAnsi="Century Schoolbook"/>
        </w:rPr>
        <w:t xml:space="preserve"> law</w:t>
      </w:r>
      <w:r w:rsidR="00E10AB7" w:rsidRPr="002A2C7E">
        <w:rPr>
          <w:rFonts w:ascii="Century Schoolbook" w:hAnsi="Century Schoolbook"/>
        </w:rPr>
        <w:t xml:space="preserve">. Because both patent and copyright share similar policies regarding the public domain, the case law dealing with the patent public domain and trademark should be considered very persuasive. </w:t>
      </w:r>
      <w:r w:rsidR="00E10AB7" w:rsidRPr="002A2C7E">
        <w:rPr>
          <w:rFonts w:ascii="Century Schoolbook" w:hAnsi="Century Schoolbook"/>
          <w:i/>
          <w:iCs/>
        </w:rPr>
        <w:t xml:space="preserve">See generally </w:t>
      </w:r>
      <w:r w:rsidR="00E10AB7" w:rsidRPr="002A2C7E">
        <w:rPr>
          <w:rFonts w:ascii="Century Schoolbook" w:hAnsi="Century Schoolbook"/>
        </w:rPr>
        <w:t>U.S. Const.</w:t>
      </w:r>
      <w:r w:rsidR="00E10AB7" w:rsidRPr="002A2C7E">
        <w:rPr>
          <w:rFonts w:ascii="Century Schoolbook" w:hAnsi="Century Schoolbook"/>
          <w:i/>
          <w:iCs/>
        </w:rPr>
        <w:t xml:space="preserve"> </w:t>
      </w:r>
      <w:r w:rsidR="00E10AB7" w:rsidRPr="002A2C7E">
        <w:rPr>
          <w:rFonts w:ascii="Century Schoolbook" w:hAnsi="Century Schoolbook"/>
        </w:rPr>
        <w:t>art.</w:t>
      </w:r>
      <w:r w:rsidR="00882CC1">
        <w:rPr>
          <w:rFonts w:ascii="Century Schoolbook" w:hAnsi="Century Schoolbook"/>
        </w:rPr>
        <w:t> </w:t>
      </w:r>
      <w:r w:rsidR="00E10AB7" w:rsidRPr="002A2C7E">
        <w:rPr>
          <w:rFonts w:ascii="Century Schoolbook" w:hAnsi="Century Schoolbook"/>
        </w:rPr>
        <w:t>I, §</w:t>
      </w:r>
      <w:r w:rsidR="00882CC1">
        <w:rPr>
          <w:rFonts w:ascii="Century Schoolbook" w:hAnsi="Century Schoolbook"/>
        </w:rPr>
        <w:t> </w:t>
      </w:r>
      <w:r w:rsidR="00E10AB7" w:rsidRPr="002A2C7E">
        <w:rPr>
          <w:rFonts w:ascii="Century Schoolbook" w:hAnsi="Century Schoolbook"/>
        </w:rPr>
        <w:t>8, cl.</w:t>
      </w:r>
      <w:r w:rsidR="00882CC1">
        <w:rPr>
          <w:rFonts w:ascii="Century Schoolbook" w:hAnsi="Century Schoolbook"/>
        </w:rPr>
        <w:t> </w:t>
      </w:r>
      <w:r w:rsidR="00E10AB7" w:rsidRPr="002A2C7E">
        <w:rPr>
          <w:rFonts w:ascii="Century Schoolbook" w:hAnsi="Century Schoolbook"/>
        </w:rPr>
        <w:t xml:space="preserve">8 (referring to both patents and copyrights </w:t>
      </w:r>
      <w:r>
        <w:rPr>
          <w:rFonts w:ascii="Century Schoolbook" w:hAnsi="Century Schoolbook"/>
        </w:rPr>
        <w:t xml:space="preserve">as </w:t>
      </w:r>
      <w:r w:rsidR="00E10AB7" w:rsidRPr="002A2C7E">
        <w:rPr>
          <w:rFonts w:ascii="Century Schoolbook" w:hAnsi="Century Schoolbook"/>
        </w:rPr>
        <w:t xml:space="preserve">having exclusive use for a limited time). Indeed, in </w:t>
      </w:r>
      <w:proofErr w:type="spellStart"/>
      <w:r w:rsidR="00E10AB7" w:rsidRPr="002A2C7E">
        <w:rPr>
          <w:rFonts w:ascii="Century Schoolbook" w:hAnsi="Century Schoolbook"/>
          <w:i/>
        </w:rPr>
        <w:t>Dastar</w:t>
      </w:r>
      <w:proofErr w:type="spellEnd"/>
      <w:r w:rsidR="00E10AB7" w:rsidRPr="002A2C7E">
        <w:rPr>
          <w:rFonts w:ascii="Century Schoolbook" w:hAnsi="Century Schoolbook"/>
        </w:rPr>
        <w:t xml:space="preserve"> itself, the Supreme Court borrowed language concerning the affirmative right to copy public domain material from its cases dealing with patent and trademark. </w:t>
      </w:r>
      <w:proofErr w:type="spellStart"/>
      <w:r w:rsidR="00E10AB7" w:rsidRPr="002A2C7E">
        <w:rPr>
          <w:rFonts w:ascii="Century Schoolbook" w:hAnsi="Century Schoolbook"/>
          <w:i/>
        </w:rPr>
        <w:t>Dastar</w:t>
      </w:r>
      <w:proofErr w:type="spellEnd"/>
      <w:r w:rsidR="00E10AB7" w:rsidRPr="002A2C7E">
        <w:rPr>
          <w:rFonts w:ascii="Century Schoolbook" w:hAnsi="Century Schoolbook"/>
        </w:rPr>
        <w:t>, 539 U.S. at 33 (“The right to copy, and to copy without attribution, once a copyright has expired, like ‘the right to make [an article whose patent has expired]—including the right to make it in precisely the shape it carried when patented—passes to the public.’”</w:t>
      </w:r>
      <w:r w:rsidR="00882CC1">
        <w:rPr>
          <w:rFonts w:ascii="Century Schoolbook" w:hAnsi="Century Schoolbook"/>
        </w:rPr>
        <w:t xml:space="preserve">) </w:t>
      </w:r>
      <w:r w:rsidR="00E10AB7" w:rsidRPr="002A2C7E">
        <w:rPr>
          <w:rFonts w:ascii="Century Schoolbook" w:hAnsi="Century Schoolbook"/>
        </w:rPr>
        <w:t xml:space="preserve">(alteration in original) (quoting </w:t>
      </w:r>
      <w:r w:rsidR="00E10AB7" w:rsidRPr="002A2C7E">
        <w:rPr>
          <w:rFonts w:ascii="Century Schoolbook" w:hAnsi="Century Schoolbook"/>
          <w:i/>
          <w:iCs/>
        </w:rPr>
        <w:t xml:space="preserve">Sears, Roebuck &amp; Co. v. </w:t>
      </w:r>
      <w:proofErr w:type="spellStart"/>
      <w:r w:rsidR="00E10AB7" w:rsidRPr="002A2C7E">
        <w:rPr>
          <w:rFonts w:ascii="Century Schoolbook" w:hAnsi="Century Schoolbook"/>
          <w:i/>
          <w:iCs/>
        </w:rPr>
        <w:t>Stiffel</w:t>
      </w:r>
      <w:proofErr w:type="spellEnd"/>
      <w:r w:rsidR="00E10AB7" w:rsidRPr="002A2C7E">
        <w:rPr>
          <w:rFonts w:ascii="Century Schoolbook" w:hAnsi="Century Schoolbook"/>
          <w:i/>
          <w:iCs/>
        </w:rPr>
        <w:t xml:space="preserve"> Co.</w:t>
      </w:r>
      <w:r w:rsidR="00E10AB7" w:rsidRPr="002A2C7E">
        <w:rPr>
          <w:rFonts w:ascii="Century Schoolbook" w:hAnsi="Century Schoolbook"/>
          <w:iCs/>
        </w:rPr>
        <w:t>,</w:t>
      </w:r>
      <w:r w:rsidR="00882CC1">
        <w:rPr>
          <w:rFonts w:ascii="Century Schoolbook" w:hAnsi="Century Schoolbook"/>
        </w:rPr>
        <w:t xml:space="preserve"> </w:t>
      </w:r>
      <w:r w:rsidR="00E10AB7" w:rsidRPr="002A2C7E">
        <w:rPr>
          <w:rFonts w:ascii="Century Schoolbook" w:hAnsi="Century Schoolbook"/>
        </w:rPr>
        <w:t>376</w:t>
      </w:r>
      <w:r w:rsidR="00882CC1">
        <w:rPr>
          <w:rFonts w:ascii="Century Schoolbook" w:hAnsi="Century Schoolbook"/>
        </w:rPr>
        <w:t> </w:t>
      </w:r>
      <w:r w:rsidR="00E10AB7" w:rsidRPr="002A2C7E">
        <w:rPr>
          <w:rFonts w:ascii="Century Schoolbook" w:hAnsi="Century Schoolbook"/>
        </w:rPr>
        <w:t>U.S. 225, 230 (1964)</w:t>
      </w:r>
      <w:r w:rsidR="005F3C54">
        <w:rPr>
          <w:rFonts w:ascii="Century Schoolbook" w:hAnsi="Century Schoolbook"/>
        </w:rPr>
        <w:t>)</w:t>
      </w:r>
      <w:r w:rsidR="00E10AB7" w:rsidRPr="002A2C7E">
        <w:rPr>
          <w:rFonts w:ascii="Century Schoolbook" w:hAnsi="Century Schoolbook"/>
        </w:rPr>
        <w:t>.</w:t>
      </w:r>
    </w:p>
    <w:p w14:paraId="5D8DCCFD" w14:textId="77777777" w:rsidR="007B1E98" w:rsidRPr="002A2C7E" w:rsidRDefault="007B1E98" w:rsidP="00166AD2">
      <w:pPr>
        <w:spacing w:after="0" w:line="240" w:lineRule="auto"/>
        <w:ind w:firstLine="720"/>
        <w:jc w:val="both"/>
        <w:rPr>
          <w:rFonts w:ascii="Century Schoolbook" w:hAnsi="Century Schoolbook"/>
        </w:rPr>
      </w:pPr>
    </w:p>
    <w:p w14:paraId="3B023F1E" w14:textId="06276840" w:rsidR="00E10AB7"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eastAsia="Times New Roman" w:hAnsi="Century Schoolbook"/>
          <w:color w:val="000000"/>
          <w:bdr w:val="none" w:sz="0" w:space="0" w:color="auto" w:frame="1"/>
        </w:rPr>
        <w:t xml:space="preserve">In order to prevail in this case, Appellee will need to win on both </w:t>
      </w:r>
      <w:r w:rsidR="00691A94">
        <w:rPr>
          <w:rFonts w:ascii="Century Schoolbook" w:eastAsia="Times New Roman" w:hAnsi="Century Schoolbook"/>
          <w:color w:val="000000"/>
          <w:bdr w:val="none" w:sz="0" w:space="0" w:color="auto" w:frame="1"/>
        </w:rPr>
        <w:t>the issue of the existence of a valid trademark</w:t>
      </w:r>
      <w:r w:rsidRPr="002A2C7E">
        <w:rPr>
          <w:rFonts w:ascii="Century Schoolbook" w:eastAsia="Times New Roman" w:hAnsi="Century Schoolbook"/>
          <w:color w:val="000000"/>
          <w:bdr w:val="none" w:sz="0" w:space="0" w:color="auto" w:frame="1"/>
        </w:rPr>
        <w:t xml:space="preserve"> and the second issue </w:t>
      </w:r>
      <w:r w:rsidR="00691A94">
        <w:rPr>
          <w:rFonts w:ascii="Century Schoolbook" w:eastAsia="Times New Roman" w:hAnsi="Century Schoolbook"/>
          <w:color w:val="000000"/>
          <w:bdr w:val="none" w:sz="0" w:space="0" w:color="auto" w:frame="1"/>
        </w:rPr>
        <w:t xml:space="preserve">of </w:t>
      </w:r>
      <w:r w:rsidRPr="002A2C7E">
        <w:rPr>
          <w:rFonts w:ascii="Century Schoolbook" w:eastAsia="Times New Roman" w:hAnsi="Century Schoolbook"/>
          <w:color w:val="000000"/>
          <w:bdr w:val="none" w:sz="0" w:space="0" w:color="auto" w:frame="1"/>
        </w:rPr>
        <w:t>if there is an exception to trademark liability when reproducing public domain works. However, because the first issue deals with the validity of the trademark in general, while the second issue deals with its applicability in the current circumstances, Appellee has a vested interest in winning on the first issue even if they lose on the second issue, as that would still preserve their trademark.</w:t>
      </w:r>
    </w:p>
    <w:p w14:paraId="30D723F6" w14:textId="77777777" w:rsidR="007B1E98" w:rsidRPr="002A2C7E" w:rsidRDefault="007B1E98" w:rsidP="00166AD2">
      <w:pPr>
        <w:spacing w:after="0" w:line="240" w:lineRule="auto"/>
        <w:ind w:firstLine="720"/>
        <w:jc w:val="both"/>
        <w:rPr>
          <w:rFonts w:ascii="Century Schoolbook" w:hAnsi="Century Schoolbook"/>
        </w:rPr>
      </w:pPr>
    </w:p>
    <w:p w14:paraId="603C37D7" w14:textId="40E9B496" w:rsidR="00E10AB7" w:rsidRDefault="00415566" w:rsidP="007B1E98">
      <w:pPr>
        <w:spacing w:after="0" w:line="240" w:lineRule="auto"/>
        <w:jc w:val="center"/>
        <w:rPr>
          <w:rFonts w:ascii="Century Schoolbook" w:hAnsi="Century Schoolbook"/>
          <w:b/>
          <w:u w:val="single"/>
        </w:rPr>
      </w:pPr>
      <w:r>
        <w:rPr>
          <w:rFonts w:ascii="Century Schoolbook" w:hAnsi="Century Schoolbook"/>
          <w:b/>
          <w:u w:val="single"/>
        </w:rPr>
        <w:t>DISCUSSION</w:t>
      </w:r>
    </w:p>
    <w:p w14:paraId="4B1F96FC" w14:textId="77777777" w:rsidR="007B1E98" w:rsidRPr="002A2C7E" w:rsidRDefault="007B1E98" w:rsidP="00166AD2">
      <w:pPr>
        <w:spacing w:after="0" w:line="240" w:lineRule="auto"/>
        <w:jc w:val="center"/>
        <w:rPr>
          <w:rFonts w:ascii="Century Schoolbook" w:hAnsi="Century Schoolbook"/>
          <w:b/>
          <w:u w:val="single"/>
        </w:rPr>
      </w:pPr>
    </w:p>
    <w:p w14:paraId="01371A10" w14:textId="39C58415" w:rsidR="00E10AB7" w:rsidRDefault="00E10AB7" w:rsidP="007B1E98">
      <w:pPr>
        <w:spacing w:after="0" w:line="240" w:lineRule="auto"/>
        <w:ind w:right="720"/>
        <w:rPr>
          <w:rFonts w:ascii="Century Schoolbook" w:hAnsi="Century Schoolbook"/>
          <w:b/>
        </w:rPr>
      </w:pPr>
      <w:r w:rsidRPr="002A2C7E">
        <w:rPr>
          <w:rFonts w:ascii="Century Schoolbook" w:hAnsi="Century Schoolbook"/>
          <w:b/>
        </w:rPr>
        <w:t>I.</w:t>
      </w:r>
      <w:r w:rsidRPr="002A2C7E">
        <w:rPr>
          <w:rFonts w:ascii="Century Schoolbook" w:hAnsi="Century Schoolbook"/>
          <w:b/>
        </w:rPr>
        <w:tab/>
        <w:t>Is There an Enforceable Trademark?</w:t>
      </w:r>
    </w:p>
    <w:p w14:paraId="6968F304" w14:textId="77777777" w:rsidR="007B1E98" w:rsidRPr="002A2C7E" w:rsidRDefault="007B1E98" w:rsidP="00166AD2">
      <w:pPr>
        <w:spacing w:after="0" w:line="240" w:lineRule="auto"/>
        <w:ind w:right="720"/>
        <w:rPr>
          <w:rFonts w:ascii="Century Schoolbook" w:hAnsi="Century Schoolbook"/>
          <w:b/>
        </w:rPr>
      </w:pPr>
    </w:p>
    <w:p w14:paraId="39EF7AF4" w14:textId="76F9981F"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The first question is </w:t>
      </w:r>
      <w:r w:rsidR="00141A64" w:rsidRPr="002A2C7E">
        <w:rPr>
          <w:rFonts w:ascii="Century Schoolbook" w:hAnsi="Century Schoolbook"/>
        </w:rPr>
        <w:t>whether</w:t>
      </w:r>
      <w:r w:rsidRPr="002A2C7E">
        <w:rPr>
          <w:rFonts w:ascii="Century Schoolbook" w:hAnsi="Century Schoolbook"/>
        </w:rPr>
        <w:t xml:space="preserve"> the Ricky the Raccoon trademark on the 1923 depiction of Ricky, which is registered in connection with films and animations, is enforceable. The parties will focus on statutory interpretation and a detailed examination of case law.</w:t>
      </w:r>
    </w:p>
    <w:p w14:paraId="604DCF3A" w14:textId="77777777" w:rsidR="007B1E98" w:rsidRPr="002A2C7E" w:rsidRDefault="007B1E98" w:rsidP="00166AD2">
      <w:pPr>
        <w:spacing w:after="0" w:line="240" w:lineRule="auto"/>
        <w:ind w:firstLine="720"/>
        <w:jc w:val="both"/>
        <w:rPr>
          <w:rFonts w:ascii="Century Schoolbook" w:hAnsi="Century Schoolbook"/>
        </w:rPr>
      </w:pPr>
    </w:p>
    <w:p w14:paraId="334CC3C0" w14:textId="496815AE"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Appellee will argue that the trademark should survive because trademark and copyright are two distinct forms of protection. To support this claim, Appellee might cite to various cases explaining the differences between trademark and copyright. </w:t>
      </w:r>
      <w:r w:rsidRPr="002A2C7E">
        <w:rPr>
          <w:rFonts w:ascii="Century Schoolbook" w:hAnsi="Century Schoolbook"/>
          <w:i/>
        </w:rPr>
        <w:t>See, e.g.</w:t>
      </w:r>
      <w:r w:rsidRPr="002A2C7E">
        <w:rPr>
          <w:rFonts w:ascii="Century Schoolbook" w:hAnsi="Century Schoolbook"/>
        </w:rPr>
        <w:t>,</w:t>
      </w:r>
      <w:r w:rsidRPr="002A2C7E">
        <w:rPr>
          <w:rFonts w:ascii="Century Schoolbook" w:hAnsi="Century Schoolbook"/>
          <w:i/>
        </w:rPr>
        <w:t xml:space="preserve"> </w:t>
      </w:r>
      <w:r w:rsidRPr="002A2C7E">
        <w:rPr>
          <w:rFonts w:ascii="Century Schoolbook" w:eastAsia="Times New Roman" w:hAnsi="Century Schoolbook"/>
          <w:i/>
          <w:color w:val="000000"/>
          <w:bdr w:val="none" w:sz="0" w:space="0" w:color="auto" w:frame="1"/>
        </w:rPr>
        <w:t>Warner Bros. Ent</w:t>
      </w:r>
      <w:r w:rsidR="00882CC1">
        <w:rPr>
          <w:rFonts w:ascii="Century Schoolbook" w:eastAsia="Times New Roman" w:hAnsi="Century Schoolbook"/>
          <w:i/>
          <w:color w:val="000000"/>
          <w:bdr w:val="none" w:sz="0" w:space="0" w:color="auto" w:frame="1"/>
        </w:rPr>
        <w:t>.</w:t>
      </w:r>
      <w:r w:rsidRPr="002A2C7E">
        <w:rPr>
          <w:rFonts w:ascii="Century Schoolbook" w:eastAsia="Times New Roman" w:hAnsi="Century Schoolbook"/>
          <w:i/>
          <w:color w:val="000000"/>
          <w:bdr w:val="none" w:sz="0" w:space="0" w:color="auto" w:frame="1"/>
        </w:rPr>
        <w:t xml:space="preserve"> v. X One X Prods.</w:t>
      </w:r>
      <w:r w:rsidRPr="002A2C7E">
        <w:rPr>
          <w:rFonts w:ascii="Century Schoolbook" w:eastAsia="Times New Roman" w:hAnsi="Century Schoolbook"/>
          <w:color w:val="000000"/>
          <w:bdr w:val="none" w:sz="0" w:space="0" w:color="auto" w:frame="1"/>
        </w:rPr>
        <w:t>, 840 F.3d 971, 982 (8th Cir. 2016) (explaining that “[c]</w:t>
      </w:r>
      <w:proofErr w:type="spellStart"/>
      <w:r w:rsidRPr="002A2C7E">
        <w:rPr>
          <w:rFonts w:ascii="Century Schoolbook" w:eastAsia="Times New Roman" w:hAnsi="Century Schoolbook"/>
          <w:color w:val="000000"/>
          <w:bdr w:val="none" w:sz="0" w:space="0" w:color="auto" w:frame="1"/>
        </w:rPr>
        <w:t>opyright</w:t>
      </w:r>
      <w:proofErr w:type="spellEnd"/>
      <w:r w:rsidRPr="002A2C7E">
        <w:rPr>
          <w:rFonts w:ascii="Century Schoolbook" w:eastAsia="Times New Roman" w:hAnsi="Century Schoolbook"/>
          <w:color w:val="000000"/>
          <w:bdr w:val="none" w:sz="0" w:space="0" w:color="auto" w:frame="1"/>
        </w:rPr>
        <w:t xml:space="preserve"> law and trademark law are distinct from each other.”</w:t>
      </w:r>
      <w:r w:rsidRPr="002A2C7E">
        <w:rPr>
          <w:rFonts w:ascii="Century Schoolbook" w:hAnsi="Century Schoolbook"/>
        </w:rPr>
        <w:t>)</w:t>
      </w:r>
      <w:r w:rsidR="00433A09">
        <w:rPr>
          <w:rFonts w:ascii="Century Schoolbook" w:hAnsi="Century Schoolbook"/>
        </w:rPr>
        <w:t>.</w:t>
      </w:r>
      <w:r w:rsidRPr="002A2C7E">
        <w:rPr>
          <w:rFonts w:ascii="Century Schoolbook" w:hAnsi="Century Schoolbook"/>
        </w:rPr>
        <w:t xml:space="preserve"> </w:t>
      </w:r>
      <w:r w:rsidRPr="002A2C7E">
        <w:rPr>
          <w:rFonts w:ascii="Century Schoolbook" w:hAnsi="Century Schoolbook"/>
        </w:rPr>
        <w:lastRenderedPageBreak/>
        <w:t xml:space="preserve">Appellee might also make textual arguments based on the respective statutes failing to mention the other. </w:t>
      </w:r>
      <w:r w:rsidRPr="002A2C7E">
        <w:rPr>
          <w:rFonts w:ascii="Century Schoolbook" w:hAnsi="Century Schoolbook"/>
          <w:i/>
        </w:rPr>
        <w:t>Compare</w:t>
      </w:r>
      <w:r w:rsidRPr="002A2C7E">
        <w:rPr>
          <w:rFonts w:ascii="Century Schoolbook" w:hAnsi="Century Schoolbook"/>
        </w:rPr>
        <w:t xml:space="preserve"> 15 U.S.C. </w:t>
      </w:r>
      <w:r w:rsidR="00433A09" w:rsidRPr="002A2C7E">
        <w:rPr>
          <w:rFonts w:ascii="Century Schoolbook" w:hAnsi="Century Schoolbook"/>
        </w:rPr>
        <w:t>§</w:t>
      </w:r>
      <w:r w:rsidRPr="002A2C7E">
        <w:rPr>
          <w:rFonts w:ascii="Century Schoolbook" w:hAnsi="Century Schoolbook"/>
        </w:rPr>
        <w:t>§ 1051</w:t>
      </w:r>
      <w:r w:rsidR="00433A09" w:rsidRPr="002A2C7E">
        <w:rPr>
          <w:rFonts w:ascii="Century Schoolbook" w:hAnsi="Century Schoolbook"/>
        </w:rPr>
        <w:t>–</w:t>
      </w:r>
      <w:r w:rsidR="00433A09">
        <w:rPr>
          <w:rFonts w:ascii="Century Schoolbook" w:hAnsi="Century Schoolbook"/>
        </w:rPr>
        <w:t>1141</w:t>
      </w:r>
      <w:r w:rsidRPr="002A2C7E">
        <w:rPr>
          <w:rFonts w:ascii="Century Schoolbook" w:hAnsi="Century Schoolbook"/>
        </w:rPr>
        <w:t xml:space="preserve">, </w:t>
      </w:r>
      <w:r w:rsidRPr="002A2C7E">
        <w:rPr>
          <w:rFonts w:ascii="Century Schoolbook" w:hAnsi="Century Schoolbook"/>
          <w:i/>
        </w:rPr>
        <w:t xml:space="preserve">with </w:t>
      </w:r>
      <w:r w:rsidRPr="002A2C7E">
        <w:rPr>
          <w:rFonts w:ascii="Century Schoolbook" w:hAnsi="Century Schoolbook"/>
        </w:rPr>
        <w:t xml:space="preserve">17 U.S.C §§ 101–810. Appellee will also likely draw from cases dealing with patents and trademarks, which often came to the conclusion that the expiration of patents has no effect on trademarks, even if the two forms of protection covered the same material. </w:t>
      </w:r>
      <w:r w:rsidRPr="002A2C7E">
        <w:rPr>
          <w:rFonts w:ascii="Century Schoolbook" w:hAnsi="Century Schoolbook"/>
          <w:i/>
        </w:rPr>
        <w:t>See Application of Mogen David Wine Corp.</w:t>
      </w:r>
      <w:r w:rsidRPr="002A2C7E">
        <w:rPr>
          <w:rFonts w:ascii="Century Schoolbook" w:hAnsi="Century Schoolbook"/>
        </w:rPr>
        <w:t>, 328 F.2d 925, 928–30 (C.C.P.A.</w:t>
      </w:r>
      <w:r w:rsidR="002A36AE">
        <w:rPr>
          <w:rFonts w:ascii="Century Schoolbook" w:hAnsi="Century Schoolbook"/>
        </w:rPr>
        <w:t> </w:t>
      </w:r>
      <w:r w:rsidRPr="002A2C7E">
        <w:rPr>
          <w:rFonts w:ascii="Century Schoolbook" w:hAnsi="Century Schoolbook"/>
        </w:rPr>
        <w:t>1964) (holding that the expiration of either a trademark or patent would have no effect on the other). Those cases generally stated that their holdings stemmed from patent and trademark being distinct forms of protection.</w:t>
      </w:r>
    </w:p>
    <w:p w14:paraId="3914A13B" w14:textId="77777777" w:rsidR="007B1E98" w:rsidRPr="002A2C7E" w:rsidRDefault="007B1E98" w:rsidP="00166AD2">
      <w:pPr>
        <w:spacing w:after="0" w:line="240" w:lineRule="auto"/>
        <w:ind w:firstLine="720"/>
        <w:jc w:val="both"/>
        <w:rPr>
          <w:rFonts w:ascii="Century Schoolbook" w:hAnsi="Century Schoolbook"/>
        </w:rPr>
      </w:pPr>
    </w:p>
    <w:p w14:paraId="73EAF137" w14:textId="3B628298" w:rsidR="00A05A07" w:rsidRDefault="00E10AB7" w:rsidP="00166AD2">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hAnsi="Century Schoolbook"/>
        </w:rPr>
        <w:t xml:space="preserve">Appellant will argue that allowing trademark protection to continue past the expiration of a related copyright </w:t>
      </w:r>
      <w:r w:rsidRPr="002A2C7E">
        <w:rPr>
          <w:rFonts w:ascii="Century Schoolbook" w:hAnsi="Century Schoolbook"/>
          <w:i/>
        </w:rPr>
        <w:t>de facto</w:t>
      </w:r>
      <w:r w:rsidRPr="002A2C7E">
        <w:rPr>
          <w:rFonts w:ascii="Century Schoolbook" w:hAnsi="Century Schoolbook"/>
        </w:rPr>
        <w:t xml:space="preserve"> prevents that copyright from entering the public domain, which disrupts the copyright bargain. Appellant will claim that the Supreme Court in </w:t>
      </w:r>
      <w:proofErr w:type="spellStart"/>
      <w:r w:rsidRPr="002A2C7E">
        <w:rPr>
          <w:rFonts w:ascii="Century Schoolbook" w:hAnsi="Century Schoolbook"/>
          <w:i/>
        </w:rPr>
        <w:t>Dastar</w:t>
      </w:r>
      <w:proofErr w:type="spellEnd"/>
      <w:r w:rsidRPr="002A2C7E">
        <w:rPr>
          <w:rFonts w:ascii="Century Schoolbook" w:hAnsi="Century Schoolbook"/>
        </w:rPr>
        <w:t xml:space="preserve"> made clear that trademark law should not invade the core principles of copyright in this manner.</w:t>
      </w:r>
      <w:r w:rsidR="00006440">
        <w:rPr>
          <w:rFonts w:ascii="Century Schoolbook" w:hAnsi="Century Schoolbook"/>
        </w:rPr>
        <w:t xml:space="preserve"> </w:t>
      </w:r>
      <w:proofErr w:type="spellStart"/>
      <w:r w:rsidR="00006440" w:rsidRPr="002A2C7E">
        <w:rPr>
          <w:rFonts w:ascii="Century Schoolbook" w:hAnsi="Century Schoolbook"/>
          <w:i/>
        </w:rPr>
        <w:t>Dastar</w:t>
      </w:r>
      <w:proofErr w:type="spellEnd"/>
      <w:r w:rsidR="00006440" w:rsidRPr="002A2C7E">
        <w:rPr>
          <w:rFonts w:ascii="Century Schoolbook" w:hAnsi="Century Schoolbook"/>
          <w:i/>
        </w:rPr>
        <w:t xml:space="preserve"> Corp. v. Twentieth Century Fox Film Corp.</w:t>
      </w:r>
      <w:r w:rsidR="00006440" w:rsidRPr="002A2C7E">
        <w:rPr>
          <w:rFonts w:ascii="Century Schoolbook" w:hAnsi="Century Schoolbook"/>
          <w:iCs/>
        </w:rPr>
        <w:t>,</w:t>
      </w:r>
      <w:r w:rsidR="00006440" w:rsidRPr="002A2C7E">
        <w:rPr>
          <w:rFonts w:ascii="Century Schoolbook" w:hAnsi="Century Schoolbook"/>
          <w:i/>
        </w:rPr>
        <w:t xml:space="preserve"> </w:t>
      </w:r>
      <w:r w:rsidR="00006440" w:rsidRPr="002A2C7E">
        <w:rPr>
          <w:rFonts w:ascii="Century Schoolbook" w:hAnsi="Century Schoolbook"/>
        </w:rPr>
        <w:t>539 U.S. 23, 34 (2003)</w:t>
      </w:r>
      <w:r w:rsidR="00006440">
        <w:rPr>
          <w:rFonts w:ascii="Century Schoolbook" w:hAnsi="Century Schoolbook"/>
        </w:rPr>
        <w:t>.</w:t>
      </w:r>
      <w:r w:rsidRPr="002A2C7E">
        <w:rPr>
          <w:rFonts w:ascii="Century Schoolbook" w:hAnsi="Century Schoolbook"/>
        </w:rPr>
        <w:t xml:space="preserve"> </w:t>
      </w:r>
      <w:r w:rsidR="00166AD2">
        <w:rPr>
          <w:rFonts w:ascii="Century Schoolbook" w:hAnsi="Century Schoolbook"/>
        </w:rPr>
        <w:t xml:space="preserve">Additionally, </w:t>
      </w:r>
      <w:r w:rsidRPr="002A2C7E">
        <w:rPr>
          <w:rFonts w:ascii="Century Schoolbook" w:hAnsi="Century Schoolbook"/>
        </w:rPr>
        <w:t xml:space="preserve">Appellant might use </w:t>
      </w:r>
      <w:proofErr w:type="spellStart"/>
      <w:r w:rsidRPr="002A2C7E">
        <w:rPr>
          <w:rFonts w:ascii="Century Schoolbook" w:hAnsi="Century Schoolbook"/>
          <w:i/>
        </w:rPr>
        <w:t>Dastar</w:t>
      </w:r>
      <w:proofErr w:type="spellEnd"/>
      <w:r w:rsidRPr="002A2C7E">
        <w:rPr>
          <w:rFonts w:ascii="Century Schoolbook" w:hAnsi="Century Schoolbook"/>
        </w:rPr>
        <w:t xml:space="preserve"> to suggest that trademark law should be interpreted in such a way that the trademark on Ricky the Raccoon becomes unenforceable or that, if the conflict is unavoidable via interpretation, the trademark loses in a conflict with the copyright. </w:t>
      </w:r>
      <w:r w:rsidR="00166AD2">
        <w:rPr>
          <w:rFonts w:ascii="Century Schoolbook" w:hAnsi="Century Schoolbook"/>
        </w:rPr>
        <w:t>Finally</w:t>
      </w:r>
      <w:r w:rsidR="00EB67F1">
        <w:rPr>
          <w:rFonts w:ascii="Century Schoolbook" w:hAnsi="Century Schoolbook"/>
        </w:rPr>
        <w:t xml:space="preserve">, </w:t>
      </w:r>
      <w:r w:rsidRPr="002A2C7E">
        <w:rPr>
          <w:rFonts w:ascii="Century Schoolbook" w:hAnsi="Century Schoolbook"/>
        </w:rPr>
        <w:t xml:space="preserve">Appellant will likely argue the trademark loses either because the “copyright bargain” is a constitutional requirement or, as suggested by the Tenth Circuit in a patent-trademark case, the public domain policies of copyright are simply more important than trademarks in visual characters. </w:t>
      </w:r>
      <w:r w:rsidRPr="002A2C7E">
        <w:rPr>
          <w:rFonts w:ascii="Century Schoolbook" w:hAnsi="Century Schoolbook"/>
          <w:i/>
        </w:rPr>
        <w:t xml:space="preserve">See </w:t>
      </w:r>
      <w:r w:rsidRPr="002A2C7E">
        <w:rPr>
          <w:rFonts w:ascii="Century Schoolbook" w:eastAsia="Times New Roman" w:hAnsi="Century Schoolbook"/>
          <w:i/>
          <w:color w:val="000000"/>
          <w:bdr w:val="none" w:sz="0" w:space="0" w:color="auto" w:frame="1"/>
        </w:rPr>
        <w:t xml:space="preserve">Vornado Air Circulation Sys., Inc. v. </w:t>
      </w:r>
      <w:proofErr w:type="spellStart"/>
      <w:r w:rsidRPr="002A2C7E">
        <w:rPr>
          <w:rFonts w:ascii="Century Schoolbook" w:eastAsia="Times New Roman" w:hAnsi="Century Schoolbook"/>
          <w:i/>
          <w:color w:val="000000"/>
          <w:bdr w:val="none" w:sz="0" w:space="0" w:color="auto" w:frame="1"/>
        </w:rPr>
        <w:t>Duracraft</w:t>
      </w:r>
      <w:proofErr w:type="spellEnd"/>
      <w:r w:rsidRPr="002A2C7E">
        <w:rPr>
          <w:rFonts w:ascii="Century Schoolbook" w:eastAsia="Times New Roman" w:hAnsi="Century Schoolbook"/>
          <w:i/>
          <w:color w:val="000000"/>
          <w:bdr w:val="none" w:sz="0" w:space="0" w:color="auto" w:frame="1"/>
        </w:rPr>
        <w:t xml:space="preserve"> Corp.</w:t>
      </w:r>
      <w:r w:rsidRPr="002A2C7E">
        <w:rPr>
          <w:rFonts w:ascii="Century Schoolbook" w:eastAsia="Times New Roman" w:hAnsi="Century Schoolbook"/>
          <w:color w:val="000000"/>
          <w:bdr w:val="none" w:sz="0" w:space="0" w:color="auto" w:frame="1"/>
        </w:rPr>
        <w:t>, 58 F.3d 1498, 1508 (10th Cir. 1995) (holding that allowing trademarks on the same core material</w:t>
      </w:r>
      <w:r w:rsidR="00141A64">
        <w:rPr>
          <w:rFonts w:ascii="Century Schoolbook" w:eastAsia="Times New Roman" w:hAnsi="Century Schoolbook"/>
          <w:color w:val="000000"/>
          <w:bdr w:val="none" w:sz="0" w:space="0" w:color="auto" w:frame="1"/>
        </w:rPr>
        <w:t xml:space="preserve"> also</w:t>
      </w:r>
      <w:r w:rsidR="00433A09">
        <w:rPr>
          <w:rFonts w:ascii="Century Schoolbook" w:eastAsia="Times New Roman" w:hAnsi="Century Schoolbook"/>
          <w:color w:val="000000"/>
          <w:bdr w:val="none" w:sz="0" w:space="0" w:color="auto" w:frame="1"/>
        </w:rPr>
        <w:t xml:space="preserve"> </w:t>
      </w:r>
      <w:r w:rsidRPr="002A2C7E">
        <w:rPr>
          <w:rFonts w:ascii="Century Schoolbook" w:eastAsia="Times New Roman" w:hAnsi="Century Schoolbook"/>
          <w:color w:val="000000"/>
          <w:bdr w:val="none" w:sz="0" w:space="0" w:color="auto" w:frame="1"/>
        </w:rPr>
        <w:t xml:space="preserve">protected by patents impermissibly impinges on patent’s public domain). </w:t>
      </w:r>
    </w:p>
    <w:p w14:paraId="6D667FE2" w14:textId="77777777" w:rsidR="00F84EA2" w:rsidRPr="002A2C7E" w:rsidRDefault="00F84EA2" w:rsidP="00166AD2">
      <w:pPr>
        <w:spacing w:after="0" w:line="240" w:lineRule="auto"/>
        <w:ind w:firstLine="720"/>
        <w:jc w:val="both"/>
        <w:rPr>
          <w:rFonts w:ascii="Century Schoolbook" w:eastAsia="Times New Roman" w:hAnsi="Century Schoolbook"/>
          <w:color w:val="000000"/>
          <w:bdr w:val="none" w:sz="0" w:space="0" w:color="auto" w:frame="1"/>
        </w:rPr>
      </w:pPr>
    </w:p>
    <w:p w14:paraId="1566440F" w14:textId="6A8944FE" w:rsidR="00E10AB7" w:rsidRPr="002A2C7E" w:rsidRDefault="00E10AB7" w:rsidP="00166AD2">
      <w:pPr>
        <w:spacing w:after="0" w:line="240" w:lineRule="auto"/>
        <w:ind w:left="720" w:right="1296"/>
        <w:rPr>
          <w:rFonts w:ascii="Century Schoolbook" w:hAnsi="Century Schoolbook"/>
          <w:b/>
        </w:rPr>
      </w:pPr>
      <w:r w:rsidRPr="002A2C7E">
        <w:rPr>
          <w:rFonts w:ascii="Century Schoolbook" w:hAnsi="Century Schoolbook"/>
          <w:b/>
        </w:rPr>
        <w:t>A.</w:t>
      </w:r>
      <w:r w:rsidRPr="002A2C7E">
        <w:rPr>
          <w:rFonts w:ascii="Century Schoolbook" w:hAnsi="Century Schoolbook"/>
          <w:b/>
        </w:rPr>
        <w:tab/>
        <w:t>Parties Will Differ in Framing the Issue.</w:t>
      </w:r>
      <w:r w:rsidR="00A05A07">
        <w:rPr>
          <w:rFonts w:ascii="Century Schoolbook" w:hAnsi="Century Schoolbook"/>
          <w:b/>
        </w:rPr>
        <w:br/>
      </w:r>
    </w:p>
    <w:p w14:paraId="0F4DAEF2" w14:textId="6A7AD853" w:rsidR="00E10AB7" w:rsidRDefault="00E10AB7" w:rsidP="007B1E98">
      <w:pPr>
        <w:spacing w:after="0" w:line="240" w:lineRule="auto"/>
        <w:ind w:left="720" w:firstLine="720"/>
        <w:rPr>
          <w:rFonts w:ascii="Century Schoolbook" w:hAnsi="Century Schoolbook"/>
          <w:b/>
        </w:rPr>
      </w:pPr>
      <w:r w:rsidRPr="002A2C7E">
        <w:rPr>
          <w:rFonts w:ascii="Century Schoolbook" w:hAnsi="Century Schoolbook"/>
          <w:b/>
        </w:rPr>
        <w:t>1.</w:t>
      </w:r>
      <w:r w:rsidRPr="002A2C7E">
        <w:rPr>
          <w:rFonts w:ascii="Century Schoolbook" w:hAnsi="Century Schoolbook"/>
          <w:b/>
        </w:rPr>
        <w:tab/>
        <w:t xml:space="preserve">Appellee will claim that trademark and copyright are </w:t>
      </w:r>
      <w:r w:rsidRPr="002A2C7E">
        <w:rPr>
          <w:rFonts w:ascii="Century Schoolbook" w:hAnsi="Century Schoolbook"/>
          <w:b/>
        </w:rPr>
        <w:tab/>
      </w:r>
      <w:r w:rsidRPr="002A2C7E">
        <w:rPr>
          <w:rFonts w:ascii="Century Schoolbook" w:hAnsi="Century Schoolbook"/>
          <w:b/>
        </w:rPr>
        <w:tab/>
      </w:r>
      <w:r w:rsidRPr="002A2C7E">
        <w:rPr>
          <w:rFonts w:ascii="Century Schoolbook" w:hAnsi="Century Schoolbook"/>
          <w:b/>
        </w:rPr>
        <w:tab/>
        <w:t>independent forms of protection</w:t>
      </w:r>
      <w:r w:rsidR="00433A09">
        <w:rPr>
          <w:rFonts w:ascii="Century Schoolbook" w:hAnsi="Century Schoolbook"/>
          <w:b/>
        </w:rPr>
        <w:t>.</w:t>
      </w:r>
    </w:p>
    <w:p w14:paraId="05C9E92F" w14:textId="77777777" w:rsidR="007B1E98" w:rsidRPr="002A2C7E" w:rsidRDefault="007B1E98" w:rsidP="00166AD2">
      <w:pPr>
        <w:spacing w:after="0" w:line="240" w:lineRule="auto"/>
        <w:ind w:left="720" w:firstLine="720"/>
        <w:rPr>
          <w:rFonts w:ascii="Century Schoolbook" w:hAnsi="Century Schoolbook"/>
          <w:b/>
        </w:rPr>
      </w:pPr>
    </w:p>
    <w:p w14:paraId="323D35EF" w14:textId="3B88F7F6"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Appellee’s argument will likely revolve around the fact that trademark and copyright are both distinct forms of protection, each with their own regulatory goals. </w:t>
      </w:r>
      <w:r w:rsidRPr="002A2C7E">
        <w:rPr>
          <w:rFonts w:ascii="Century Schoolbook" w:hAnsi="Century Schoolbook"/>
          <w:i/>
        </w:rPr>
        <w:t xml:space="preserve">See </w:t>
      </w:r>
      <w:r w:rsidRPr="002A2C7E">
        <w:rPr>
          <w:rFonts w:ascii="Century Schoolbook" w:eastAsia="Times New Roman" w:hAnsi="Century Schoolbook"/>
          <w:i/>
          <w:color w:val="000000"/>
          <w:bdr w:val="none" w:sz="0" w:space="0" w:color="auto" w:frame="1"/>
        </w:rPr>
        <w:t>X One X Prods.</w:t>
      </w:r>
      <w:r w:rsidRPr="002A2C7E">
        <w:rPr>
          <w:rFonts w:ascii="Century Schoolbook" w:eastAsia="Times New Roman" w:hAnsi="Century Schoolbook"/>
          <w:color w:val="000000"/>
          <w:bdr w:val="none" w:sz="0" w:space="0" w:color="auto" w:frame="1"/>
        </w:rPr>
        <w:t xml:space="preserve">, 840 F.3d </w:t>
      </w:r>
      <w:r w:rsidR="00006440">
        <w:rPr>
          <w:rFonts w:ascii="Century Schoolbook" w:eastAsia="Times New Roman" w:hAnsi="Century Schoolbook"/>
          <w:color w:val="000000"/>
          <w:bdr w:val="none" w:sz="0" w:space="0" w:color="auto" w:frame="1"/>
        </w:rPr>
        <w:t>at</w:t>
      </w:r>
      <w:r w:rsidRPr="002A2C7E">
        <w:rPr>
          <w:rFonts w:ascii="Century Schoolbook" w:eastAsia="Times New Roman" w:hAnsi="Century Schoolbook"/>
          <w:color w:val="000000"/>
          <w:bdr w:val="none" w:sz="0" w:space="0" w:color="auto" w:frame="1"/>
        </w:rPr>
        <w:t xml:space="preserve"> 982 (s</w:t>
      </w:r>
      <w:r w:rsidR="00433A09">
        <w:rPr>
          <w:rFonts w:ascii="Century Schoolbook" w:eastAsia="Times New Roman" w:hAnsi="Century Schoolbook"/>
          <w:color w:val="000000"/>
          <w:bdr w:val="none" w:sz="0" w:space="0" w:color="auto" w:frame="1"/>
        </w:rPr>
        <w:t>tating that</w:t>
      </w:r>
      <w:r w:rsidRPr="002A2C7E">
        <w:rPr>
          <w:rFonts w:ascii="Century Schoolbook" w:hAnsi="Century Schoolbook"/>
        </w:rPr>
        <w:t xml:space="preserve"> “[c]</w:t>
      </w:r>
      <w:proofErr w:type="spellStart"/>
      <w:r w:rsidRPr="002A2C7E">
        <w:rPr>
          <w:rFonts w:ascii="Century Schoolbook" w:hAnsi="Century Schoolbook"/>
        </w:rPr>
        <w:t>opyright</w:t>
      </w:r>
      <w:proofErr w:type="spellEnd"/>
      <w:r w:rsidRPr="002A2C7E">
        <w:rPr>
          <w:rFonts w:ascii="Century Schoolbook" w:hAnsi="Century Schoolbook"/>
        </w:rPr>
        <w:t xml:space="preserve"> law and trademark law are distinct from each other” and warning against conflating the two);</w:t>
      </w:r>
      <w:r w:rsidRPr="002A2C7E">
        <w:rPr>
          <w:rFonts w:ascii="Century Schoolbook" w:eastAsia="Times New Roman" w:hAnsi="Century Schoolbook"/>
          <w:color w:val="000000"/>
          <w:shd w:val="clear" w:color="auto" w:fill="FFFFFF"/>
        </w:rPr>
        <w:t xml:space="preserve"> </w:t>
      </w:r>
      <w:r w:rsidRPr="002A2C7E">
        <w:rPr>
          <w:rFonts w:ascii="Century Schoolbook" w:hAnsi="Century Schoolbook"/>
          <w:i/>
        </w:rPr>
        <w:t>Univ. of Ala</w:t>
      </w:r>
      <w:r w:rsidR="00006440">
        <w:rPr>
          <w:rFonts w:ascii="Century Schoolbook" w:hAnsi="Century Schoolbook"/>
          <w:i/>
        </w:rPr>
        <w:t>.</w:t>
      </w:r>
      <w:r w:rsidRPr="002A2C7E">
        <w:rPr>
          <w:rFonts w:ascii="Century Schoolbook" w:hAnsi="Century Schoolbook"/>
          <w:i/>
        </w:rPr>
        <w:t xml:space="preserve"> Bd. of Trustees v. New Life Art, Inc.</w:t>
      </w:r>
      <w:r w:rsidRPr="002A2C7E">
        <w:rPr>
          <w:rFonts w:ascii="Century Schoolbook" w:hAnsi="Century Schoolbook"/>
        </w:rPr>
        <w:t>, 683 F.3d 1266, 1280 (11th</w:t>
      </w:r>
      <w:r w:rsidR="00006440">
        <w:rPr>
          <w:rFonts w:ascii="Century Schoolbook" w:hAnsi="Century Schoolbook"/>
        </w:rPr>
        <w:t> </w:t>
      </w:r>
      <w:r w:rsidRPr="002A2C7E">
        <w:rPr>
          <w:rFonts w:ascii="Century Schoolbook" w:hAnsi="Century Schoolbook"/>
        </w:rPr>
        <w:t xml:space="preserve">Cir. 2012) (holding that owning a copyright on an image does not provide a defense against trademark liability from using that image). Appellee might cite </w:t>
      </w:r>
      <w:r w:rsidRPr="002A2C7E">
        <w:rPr>
          <w:rFonts w:ascii="Century Schoolbook" w:hAnsi="Century Schoolbook"/>
          <w:i/>
        </w:rPr>
        <w:t>Frederick Warne &amp; Co. v. Book Sales Inc.</w:t>
      </w:r>
      <w:r w:rsidRPr="002A2C7E">
        <w:rPr>
          <w:rFonts w:ascii="Century Schoolbook" w:hAnsi="Century Schoolbook"/>
        </w:rPr>
        <w:t>, 481 F. Supp. 1191 (S.D.N.Y. 1979) for the proposition that an expired copyright should not affect trademark protection due to the independent nature of the statutes.</w:t>
      </w:r>
    </w:p>
    <w:p w14:paraId="109D7BF3" w14:textId="77777777" w:rsidR="007B1E98" w:rsidRPr="002A2C7E" w:rsidRDefault="007B1E98" w:rsidP="00166AD2">
      <w:pPr>
        <w:spacing w:after="0" w:line="240" w:lineRule="auto"/>
        <w:ind w:firstLine="720"/>
        <w:jc w:val="both"/>
        <w:rPr>
          <w:rFonts w:ascii="Century Schoolbook" w:hAnsi="Century Schoolbook"/>
        </w:rPr>
      </w:pPr>
    </w:p>
    <w:p w14:paraId="714AD841" w14:textId="16819448"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lastRenderedPageBreak/>
        <w:t xml:space="preserve">Appellee should use the fact that the underlying statutes empowering trademark and copyright are separate to create a textualist argument that the expiration of a copyright has no effect on related trademarks. The federal trademark statute—the Lanham Act or 15 U.S.C. </w:t>
      </w:r>
      <w:r w:rsidR="00006440" w:rsidRPr="002A2C7E">
        <w:rPr>
          <w:rFonts w:ascii="Century Schoolbook" w:hAnsi="Century Schoolbook"/>
        </w:rPr>
        <w:t>§</w:t>
      </w:r>
      <w:r w:rsidRPr="002A2C7E">
        <w:rPr>
          <w:rFonts w:ascii="Century Schoolbook" w:hAnsi="Century Schoolbook"/>
        </w:rPr>
        <w:t>§ 1051</w:t>
      </w:r>
      <w:r w:rsidR="00006440" w:rsidRPr="002A2C7E">
        <w:rPr>
          <w:rFonts w:ascii="Century Schoolbook" w:hAnsi="Century Schoolbook"/>
        </w:rPr>
        <w:t>–</w:t>
      </w:r>
      <w:r w:rsidR="00006440">
        <w:rPr>
          <w:rFonts w:ascii="Century Schoolbook" w:hAnsi="Century Schoolbook"/>
        </w:rPr>
        <w:t>1141</w:t>
      </w:r>
      <w:r w:rsidRPr="002A2C7E">
        <w:rPr>
          <w:rFonts w:ascii="Century Schoolbook" w:hAnsi="Century Schoolbook"/>
        </w:rPr>
        <w:t>—shows no reference to the copyright statute—17 U.S.C §§ 101–810—and vice versa. Appellee could point to 15 U.S.C. § 1064, the section covering cancellation of registered trademarks, which only enumerates very specific grounds—genericization, abandonment, functionality</w:t>
      </w:r>
      <w:r w:rsidR="00006440">
        <w:rPr>
          <w:rFonts w:ascii="Century Schoolbook" w:hAnsi="Century Schoolbook"/>
        </w:rPr>
        <w:t>,</w:t>
      </w:r>
      <w:r w:rsidRPr="002A2C7E">
        <w:rPr>
          <w:rFonts w:ascii="Century Schoolbook" w:hAnsi="Century Schoolbook"/>
        </w:rPr>
        <w:t xml:space="preserve"> and fraud-related reasons—for cancellation after </w:t>
      </w:r>
      <w:r w:rsidR="00006440">
        <w:rPr>
          <w:rFonts w:ascii="Century Schoolbook" w:hAnsi="Century Schoolbook"/>
        </w:rPr>
        <w:t>five</w:t>
      </w:r>
      <w:r w:rsidRPr="002A2C7E">
        <w:rPr>
          <w:rFonts w:ascii="Century Schoolbook" w:hAnsi="Century Schoolbook"/>
        </w:rPr>
        <w:t xml:space="preserve"> years. The canon of </w:t>
      </w:r>
      <w:proofErr w:type="spellStart"/>
      <w:r w:rsidRPr="002A2C7E">
        <w:rPr>
          <w:rFonts w:ascii="Century Schoolbook" w:hAnsi="Century Schoolbook"/>
          <w:i/>
        </w:rPr>
        <w:t>expressio</w:t>
      </w:r>
      <w:proofErr w:type="spellEnd"/>
      <w:r w:rsidRPr="002A2C7E">
        <w:rPr>
          <w:rFonts w:ascii="Century Schoolbook" w:hAnsi="Century Schoolbook"/>
          <w:i/>
        </w:rPr>
        <w:t xml:space="preserve"> </w:t>
      </w:r>
      <w:proofErr w:type="spellStart"/>
      <w:r w:rsidRPr="002A2C7E">
        <w:rPr>
          <w:rFonts w:ascii="Century Schoolbook" w:hAnsi="Century Schoolbook"/>
          <w:i/>
        </w:rPr>
        <w:t>unius</w:t>
      </w:r>
      <w:proofErr w:type="spellEnd"/>
      <w:r w:rsidRPr="002A2C7E">
        <w:rPr>
          <w:rFonts w:ascii="Century Schoolbook" w:hAnsi="Century Schoolbook"/>
        </w:rPr>
        <w:t xml:space="preserve"> would suggest that the expiration of related copyrights would not be grounds for cancelation after five years of registration.</w:t>
      </w:r>
      <w:r w:rsidRPr="002A2C7E">
        <w:rPr>
          <w:rFonts w:ascii="Century Schoolbook" w:hAnsi="Century Schoolbook"/>
          <w:i/>
        </w:rPr>
        <w:t xml:space="preserve"> See</w:t>
      </w:r>
      <w:r w:rsidRPr="00953BB2">
        <w:rPr>
          <w:rFonts w:ascii="Century Schoolbook" w:hAnsi="Century Schoolbook"/>
        </w:rPr>
        <w:t>,</w:t>
      </w:r>
      <w:r w:rsidRPr="002A2C7E">
        <w:rPr>
          <w:rFonts w:ascii="Century Schoolbook" w:hAnsi="Century Schoolbook"/>
          <w:i/>
        </w:rPr>
        <w:t xml:space="preserve"> e.g.</w:t>
      </w:r>
      <w:r w:rsidRPr="00953BB2">
        <w:rPr>
          <w:rFonts w:ascii="Century Schoolbook" w:hAnsi="Century Schoolbook"/>
          <w:i/>
        </w:rPr>
        <w:t>,</w:t>
      </w:r>
      <w:r w:rsidRPr="002A2C7E">
        <w:rPr>
          <w:rFonts w:ascii="Century Schoolbook" w:hAnsi="Century Schoolbook"/>
          <w:i/>
        </w:rPr>
        <w:t xml:space="preserve"> Jennings v. Rodriguez</w:t>
      </w:r>
      <w:r w:rsidRPr="002A2C7E">
        <w:rPr>
          <w:rFonts w:ascii="Century Schoolbook" w:hAnsi="Century Schoolbook"/>
        </w:rPr>
        <w:t xml:space="preserve">, 138 S. Ct. 830, 844 (2018) (explaining that under the canon of </w:t>
      </w:r>
      <w:proofErr w:type="spellStart"/>
      <w:r w:rsidRPr="002A2C7E">
        <w:rPr>
          <w:rFonts w:ascii="Century Schoolbook" w:hAnsi="Century Schoolbook"/>
          <w:i/>
        </w:rPr>
        <w:t>expressio</w:t>
      </w:r>
      <w:proofErr w:type="spellEnd"/>
      <w:r w:rsidRPr="002A2C7E">
        <w:rPr>
          <w:rFonts w:ascii="Century Schoolbook" w:hAnsi="Century Schoolbook"/>
          <w:i/>
        </w:rPr>
        <w:t xml:space="preserve"> </w:t>
      </w:r>
      <w:proofErr w:type="spellStart"/>
      <w:r w:rsidRPr="002A2C7E">
        <w:rPr>
          <w:rFonts w:ascii="Century Schoolbook" w:hAnsi="Century Schoolbook"/>
          <w:i/>
        </w:rPr>
        <w:t>unius</w:t>
      </w:r>
      <w:proofErr w:type="spellEnd"/>
      <w:r w:rsidRPr="002A2C7E">
        <w:rPr>
          <w:rFonts w:ascii="Century Schoolbook" w:hAnsi="Century Schoolbook"/>
        </w:rPr>
        <w:t xml:space="preserve">, a statute expressly listing certain categories suggests that the list is exhaustive and exclusive). Note that the trademark at issue is </w:t>
      </w:r>
      <w:r w:rsidRPr="002A2C7E">
        <w:rPr>
          <w:rFonts w:ascii="Century Schoolbook" w:hAnsi="Century Schoolbook"/>
          <w:i/>
        </w:rPr>
        <w:t>not</w:t>
      </w:r>
      <w:r w:rsidRPr="002A2C7E">
        <w:rPr>
          <w:rFonts w:ascii="Century Schoolbook" w:hAnsi="Century Schoolbook"/>
        </w:rPr>
        <w:t xml:space="preserve"> incontestable. </w:t>
      </w:r>
    </w:p>
    <w:p w14:paraId="04223ECA" w14:textId="77777777" w:rsidR="007B1E98" w:rsidRPr="002A2C7E" w:rsidRDefault="007B1E98" w:rsidP="00166AD2">
      <w:pPr>
        <w:spacing w:after="0" w:line="240" w:lineRule="auto"/>
        <w:ind w:firstLine="720"/>
        <w:jc w:val="both"/>
        <w:rPr>
          <w:rFonts w:ascii="Century Schoolbook" w:hAnsi="Century Schoolbook"/>
        </w:rPr>
      </w:pPr>
    </w:p>
    <w:p w14:paraId="5F572BEC" w14:textId="7E186A7B"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Further, the Copyright Act makes no mention of an affirmative right to copy expired works. </w:t>
      </w:r>
      <w:r w:rsidRPr="002A2C7E">
        <w:rPr>
          <w:rFonts w:ascii="Century Schoolbook" w:hAnsi="Century Schoolbook"/>
          <w:i/>
        </w:rPr>
        <w:t xml:space="preserve">See </w:t>
      </w:r>
      <w:r w:rsidRPr="002A2C7E">
        <w:rPr>
          <w:rFonts w:ascii="Century Schoolbook" w:hAnsi="Century Schoolbook"/>
        </w:rPr>
        <w:t>17 U.S.C. § 106 (listing the exclusive rights to copyright but not listing any public rights in expired copyrights). An argument could be made that any conflict is purely policy</w:t>
      </w:r>
      <w:r w:rsidR="00006440">
        <w:rPr>
          <w:rFonts w:ascii="Century Schoolbook" w:hAnsi="Century Schoolbook"/>
        </w:rPr>
        <w:t>-</w:t>
      </w:r>
      <w:r w:rsidRPr="002A2C7E">
        <w:rPr>
          <w:rFonts w:ascii="Century Schoolbook" w:hAnsi="Century Schoolbook"/>
        </w:rPr>
        <w:t>based</w:t>
      </w:r>
      <w:r w:rsidR="00812416">
        <w:rPr>
          <w:rFonts w:ascii="Century Schoolbook" w:hAnsi="Century Schoolbook"/>
        </w:rPr>
        <w:t xml:space="preserve"> </w:t>
      </w:r>
      <w:r w:rsidRPr="002A2C7E">
        <w:rPr>
          <w:rFonts w:ascii="Century Schoolbook" w:hAnsi="Century Schoolbook"/>
        </w:rPr>
        <w:t>and thus</w:t>
      </w:r>
      <w:r w:rsidR="00812416">
        <w:rPr>
          <w:rFonts w:ascii="Century Schoolbook" w:hAnsi="Century Schoolbook"/>
        </w:rPr>
        <w:t xml:space="preserve"> </w:t>
      </w:r>
      <w:r w:rsidRPr="002A2C7E">
        <w:rPr>
          <w:rFonts w:ascii="Century Schoolbook" w:hAnsi="Century Schoolbook"/>
        </w:rPr>
        <w:t>best left to Congress to resolve.</w:t>
      </w:r>
    </w:p>
    <w:p w14:paraId="09B9E773" w14:textId="77777777" w:rsidR="007B1E98" w:rsidRPr="002A2C7E" w:rsidRDefault="007B1E98" w:rsidP="00166AD2">
      <w:pPr>
        <w:spacing w:after="0" w:line="240" w:lineRule="auto"/>
        <w:ind w:firstLine="720"/>
        <w:jc w:val="both"/>
        <w:rPr>
          <w:rFonts w:ascii="Century Schoolbook" w:hAnsi="Century Schoolbook"/>
        </w:rPr>
      </w:pPr>
    </w:p>
    <w:p w14:paraId="2E3CF5BF" w14:textId="096CE6DD"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One counterargument will be that </w:t>
      </w:r>
      <w:r w:rsidRPr="002A2C7E">
        <w:rPr>
          <w:rFonts w:ascii="Century Schoolbook" w:hAnsi="Century Schoolbook"/>
          <w:i/>
        </w:rPr>
        <w:t>because</w:t>
      </w:r>
      <w:r w:rsidRPr="002A2C7E">
        <w:rPr>
          <w:rFonts w:ascii="Century Schoolbook" w:hAnsi="Century Schoolbook"/>
        </w:rPr>
        <w:t xml:space="preserve"> they are separate forms of protection, the Supreme Court has stated that the Lanham Act should be interpreted in such a way that trademark does not overly encroach on the Copyright Act. </w:t>
      </w:r>
      <w:proofErr w:type="spellStart"/>
      <w:r w:rsidRPr="002A2C7E">
        <w:rPr>
          <w:rFonts w:ascii="Century Schoolbook" w:hAnsi="Century Schoolbook"/>
          <w:i/>
        </w:rPr>
        <w:t>Dastar</w:t>
      </w:r>
      <w:proofErr w:type="spellEnd"/>
      <w:r w:rsidRPr="002A2C7E">
        <w:rPr>
          <w:rFonts w:ascii="Century Schoolbook" w:hAnsi="Century Schoolbook"/>
          <w:iCs/>
        </w:rPr>
        <w:t>,</w:t>
      </w:r>
      <w:r w:rsidRPr="002A2C7E">
        <w:rPr>
          <w:rFonts w:ascii="Century Schoolbook" w:hAnsi="Century Schoolbook"/>
          <w:i/>
        </w:rPr>
        <w:t xml:space="preserve"> </w:t>
      </w:r>
      <w:r w:rsidRPr="002A2C7E">
        <w:rPr>
          <w:rFonts w:ascii="Century Schoolbook" w:hAnsi="Century Schoolbook"/>
        </w:rPr>
        <w:t xml:space="preserve">539 U.S. </w:t>
      </w:r>
      <w:r w:rsidR="00006440">
        <w:rPr>
          <w:rFonts w:ascii="Century Schoolbook" w:hAnsi="Century Schoolbook"/>
        </w:rPr>
        <w:t>at</w:t>
      </w:r>
      <w:r w:rsidRPr="002A2C7E">
        <w:rPr>
          <w:rFonts w:ascii="Century Schoolbook" w:hAnsi="Century Schoolbook"/>
        </w:rPr>
        <w:t xml:space="preserve"> 34 (interpreting the Lanham Act so as not to cause “the Lanham Act to conflict with the law of copyright” in order to prevent trademark law from becoming “a species of mutant copyright law”). Thus, Appellee might</w:t>
      </w:r>
      <w:r w:rsidR="00EB67F1">
        <w:rPr>
          <w:rFonts w:ascii="Century Schoolbook" w:hAnsi="Century Schoolbook"/>
        </w:rPr>
        <w:t xml:space="preserve"> use</w:t>
      </w:r>
      <w:r w:rsidRPr="002A2C7E">
        <w:rPr>
          <w:rFonts w:ascii="Century Schoolbook" w:hAnsi="Century Schoolbook"/>
        </w:rPr>
        <w:t xml:space="preserve"> the record</w:t>
      </w:r>
      <w:r w:rsidR="00EB67F1">
        <w:rPr>
          <w:rFonts w:ascii="Century Schoolbook" w:hAnsi="Century Schoolbook"/>
        </w:rPr>
        <w:t xml:space="preserve"> to</w:t>
      </w:r>
      <w:r w:rsidRPr="002A2C7E">
        <w:rPr>
          <w:rFonts w:ascii="Century Schoolbook" w:hAnsi="Century Schoolbook"/>
        </w:rPr>
        <w:t xml:space="preserve"> show how the trademark at issue has been used in a way that generally conforms with the purpose of trademark law, not copyright law. </w:t>
      </w:r>
      <w:r w:rsidR="00EB67F1">
        <w:rPr>
          <w:rFonts w:ascii="Century Schoolbook" w:hAnsi="Century Schoolbook"/>
        </w:rPr>
        <w:t xml:space="preserve">And </w:t>
      </w:r>
      <w:r w:rsidRPr="002A2C7E">
        <w:rPr>
          <w:rFonts w:ascii="Century Schoolbook" w:hAnsi="Century Schoolbook"/>
        </w:rPr>
        <w:t xml:space="preserve">Appellee might argue that since Appellant tried to reference the character in general, it is analogous to </w:t>
      </w:r>
      <w:r w:rsidRPr="002A2C7E">
        <w:rPr>
          <w:rFonts w:ascii="Century Schoolbook" w:hAnsi="Century Schoolbook"/>
          <w:i/>
        </w:rPr>
        <w:t>X One X Productions</w:t>
      </w:r>
      <w:r w:rsidRPr="002A2C7E">
        <w:rPr>
          <w:rFonts w:ascii="Century Schoolbook" w:hAnsi="Century Schoolbook"/>
          <w:iCs/>
        </w:rPr>
        <w:t>. In that case,</w:t>
      </w:r>
      <w:r w:rsidRPr="002A2C7E">
        <w:rPr>
          <w:rFonts w:ascii="Century Schoolbook" w:hAnsi="Century Schoolbook"/>
        </w:rPr>
        <w:t xml:space="preserve"> trademark infringement was found, notwithstanding that the images at issue were in the public domain because the Appellee had “employ[ed] iconic film characters’ pictures to associate the products with Warner’s films, not to copy the film itself.” </w:t>
      </w:r>
      <w:r w:rsidRPr="002A2C7E">
        <w:rPr>
          <w:rFonts w:ascii="Century Schoolbook" w:hAnsi="Century Schoolbook"/>
          <w:i/>
          <w:iCs/>
        </w:rPr>
        <w:t>X One X Prods.</w:t>
      </w:r>
      <w:r w:rsidRPr="002A2C7E">
        <w:rPr>
          <w:rFonts w:ascii="Century Schoolbook" w:hAnsi="Century Schoolbook"/>
        </w:rPr>
        <w:t xml:space="preserve">, 840 F.3d </w:t>
      </w:r>
      <w:r w:rsidR="00006440">
        <w:rPr>
          <w:rFonts w:ascii="Century Schoolbook" w:hAnsi="Century Schoolbook"/>
        </w:rPr>
        <w:t>at</w:t>
      </w:r>
      <w:r w:rsidRPr="002A2C7E">
        <w:rPr>
          <w:rFonts w:ascii="Century Schoolbook" w:hAnsi="Century Schoolbook"/>
        </w:rPr>
        <w:t xml:space="preserve"> 980.</w:t>
      </w:r>
    </w:p>
    <w:p w14:paraId="20E49DB5" w14:textId="77777777" w:rsidR="007B1E98" w:rsidRPr="002A2C7E" w:rsidRDefault="007B1E98" w:rsidP="00166AD2">
      <w:pPr>
        <w:spacing w:after="0" w:line="240" w:lineRule="auto"/>
        <w:ind w:firstLine="720"/>
        <w:jc w:val="both"/>
        <w:rPr>
          <w:rFonts w:ascii="Century Schoolbook" w:hAnsi="Century Schoolbook"/>
        </w:rPr>
      </w:pPr>
    </w:p>
    <w:p w14:paraId="73AC6146" w14:textId="1AFF7E10" w:rsidR="00E10AB7" w:rsidRDefault="00E10AB7" w:rsidP="007B1E98">
      <w:pPr>
        <w:spacing w:after="0" w:line="240" w:lineRule="auto"/>
        <w:ind w:left="2160" w:hanging="720"/>
        <w:rPr>
          <w:rFonts w:ascii="Century Schoolbook" w:hAnsi="Century Schoolbook"/>
          <w:b/>
        </w:rPr>
      </w:pPr>
      <w:r w:rsidRPr="002A2C7E">
        <w:rPr>
          <w:rFonts w:ascii="Century Schoolbook" w:hAnsi="Century Schoolbook"/>
          <w:b/>
        </w:rPr>
        <w:t>2.</w:t>
      </w:r>
      <w:r w:rsidRPr="002A2C7E">
        <w:rPr>
          <w:rFonts w:ascii="Century Schoolbook" w:hAnsi="Century Schoolbook"/>
          <w:b/>
        </w:rPr>
        <w:tab/>
        <w:t>Appellant will claim that the “copyright bargain” would be violated by letting the trademark survive.</w:t>
      </w:r>
    </w:p>
    <w:p w14:paraId="5693F8C3" w14:textId="77777777" w:rsidR="007B1E98" w:rsidRPr="002A2C7E" w:rsidRDefault="007B1E98" w:rsidP="00166AD2">
      <w:pPr>
        <w:spacing w:after="0" w:line="240" w:lineRule="auto"/>
        <w:ind w:left="2160" w:hanging="720"/>
        <w:rPr>
          <w:rFonts w:ascii="Century Schoolbook" w:hAnsi="Century Schoolbook"/>
          <w:b/>
        </w:rPr>
      </w:pPr>
    </w:p>
    <w:p w14:paraId="371C9FCF" w14:textId="588F7925"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Appellant will cite to Supreme Court cases which have made clear that “[t]he rights of a patentee or a copyright holder are part of a ‘carefully crafted bargain,’ under which, once the patent or copyright</w:t>
      </w:r>
      <w:r w:rsidR="00B67C9A">
        <w:rPr>
          <w:rFonts w:ascii="Century Schoolbook" w:hAnsi="Century Schoolbook"/>
        </w:rPr>
        <w:t xml:space="preserve"> </w:t>
      </w:r>
      <w:r w:rsidRPr="002A2C7E">
        <w:rPr>
          <w:rFonts w:ascii="Century Schoolbook" w:hAnsi="Century Schoolbook"/>
        </w:rPr>
        <w:t>monopoly has expired, the public may use the invention</w:t>
      </w:r>
      <w:r w:rsidR="00B67C9A">
        <w:rPr>
          <w:rFonts w:ascii="Century Schoolbook" w:hAnsi="Century Schoolbook"/>
        </w:rPr>
        <w:t xml:space="preserve"> </w:t>
      </w:r>
      <w:r w:rsidRPr="002A2C7E">
        <w:rPr>
          <w:rFonts w:ascii="Century Schoolbook" w:hAnsi="Century Schoolbook"/>
        </w:rPr>
        <w:t>or work</w:t>
      </w:r>
      <w:r w:rsidR="00B67C9A">
        <w:rPr>
          <w:rFonts w:ascii="Century Schoolbook" w:hAnsi="Century Schoolbook"/>
        </w:rPr>
        <w:t xml:space="preserve"> </w:t>
      </w:r>
      <w:r w:rsidRPr="002A2C7E">
        <w:rPr>
          <w:rFonts w:ascii="Century Schoolbook" w:hAnsi="Century Schoolbook"/>
        </w:rPr>
        <w:t xml:space="preserve">at will and without attribution.” </w:t>
      </w:r>
      <w:proofErr w:type="spellStart"/>
      <w:r w:rsidRPr="002A2C7E">
        <w:rPr>
          <w:rFonts w:ascii="Century Schoolbook" w:hAnsi="Century Schoolbook"/>
          <w:i/>
        </w:rPr>
        <w:t>Dastar</w:t>
      </w:r>
      <w:proofErr w:type="spellEnd"/>
      <w:r w:rsidRPr="002A2C7E">
        <w:rPr>
          <w:rFonts w:ascii="Century Schoolbook" w:hAnsi="Century Schoolbook"/>
        </w:rPr>
        <w:t>, 539 U.S.</w:t>
      </w:r>
      <w:r w:rsidR="00B67C9A">
        <w:rPr>
          <w:rFonts w:ascii="Century Schoolbook" w:hAnsi="Century Schoolbook"/>
        </w:rPr>
        <w:t xml:space="preserve"> at</w:t>
      </w:r>
      <w:r w:rsidRPr="002A2C7E">
        <w:rPr>
          <w:rFonts w:ascii="Century Schoolbook" w:hAnsi="Century Schoolbook"/>
        </w:rPr>
        <w:t xml:space="preserve"> 33–34 (quoting </w:t>
      </w:r>
      <w:r w:rsidRPr="002A2C7E">
        <w:rPr>
          <w:rFonts w:ascii="Century Schoolbook" w:hAnsi="Century Schoolbook"/>
          <w:i/>
          <w:iCs/>
        </w:rPr>
        <w:t>Bonito Boats, Inc. v. Thunder Craft Boats</w:t>
      </w:r>
      <w:r w:rsidRPr="002A2C7E">
        <w:rPr>
          <w:rFonts w:ascii="Century Schoolbook" w:hAnsi="Century Schoolbook"/>
          <w:iCs/>
        </w:rPr>
        <w:t xml:space="preserve">, </w:t>
      </w:r>
      <w:r w:rsidRPr="00953BB2">
        <w:rPr>
          <w:rFonts w:ascii="Century Schoolbook" w:hAnsi="Century Schoolbook"/>
          <w:i/>
        </w:rPr>
        <w:t>Inc.</w:t>
      </w:r>
      <w:r w:rsidRPr="002A2C7E">
        <w:rPr>
          <w:rFonts w:ascii="Century Schoolbook" w:hAnsi="Century Schoolbook"/>
          <w:iCs/>
        </w:rPr>
        <w:t>,</w:t>
      </w:r>
      <w:r w:rsidR="00B67C9A">
        <w:rPr>
          <w:rFonts w:ascii="Century Schoolbook" w:hAnsi="Century Schoolbook"/>
        </w:rPr>
        <w:t xml:space="preserve"> </w:t>
      </w:r>
      <w:r w:rsidRPr="002A2C7E">
        <w:rPr>
          <w:rFonts w:ascii="Century Schoolbook" w:hAnsi="Century Schoolbook"/>
        </w:rPr>
        <w:t xml:space="preserve">489 U.S. 141, 150–51 (1989)). Appellant might even go so far as to say this bargain is more than congressional policy and is mandated by the Constitution. </w:t>
      </w:r>
      <w:r w:rsidRPr="002A2C7E">
        <w:rPr>
          <w:rFonts w:ascii="Century Schoolbook" w:hAnsi="Century Schoolbook"/>
          <w:i/>
        </w:rPr>
        <w:t>See</w:t>
      </w:r>
      <w:r w:rsidRPr="002A2C7E">
        <w:rPr>
          <w:rFonts w:ascii="Century Schoolbook" w:hAnsi="Century Schoolbook"/>
        </w:rPr>
        <w:t xml:space="preserve"> U.S. Const. art.</w:t>
      </w:r>
      <w:r w:rsidR="00B67C9A">
        <w:rPr>
          <w:rFonts w:ascii="Century Schoolbook" w:hAnsi="Century Schoolbook"/>
        </w:rPr>
        <w:t> </w:t>
      </w:r>
      <w:r w:rsidRPr="002A2C7E">
        <w:rPr>
          <w:rFonts w:ascii="Century Schoolbook" w:hAnsi="Century Schoolbook"/>
        </w:rPr>
        <w:t>I, § 8, cl.</w:t>
      </w:r>
      <w:r w:rsidR="00B67C9A">
        <w:rPr>
          <w:rFonts w:ascii="Century Schoolbook" w:hAnsi="Century Schoolbook"/>
        </w:rPr>
        <w:t> </w:t>
      </w:r>
      <w:r w:rsidRPr="002A2C7E">
        <w:rPr>
          <w:rFonts w:ascii="Century Schoolbook" w:hAnsi="Century Schoolbook"/>
        </w:rPr>
        <w:t xml:space="preserve">8 (granting Congress the power “[t]o promote the Progress of Science and useful Arts, by securing </w:t>
      </w:r>
      <w:r w:rsidRPr="002A2C7E">
        <w:rPr>
          <w:rFonts w:ascii="Century Schoolbook" w:hAnsi="Century Schoolbook"/>
        </w:rPr>
        <w:lastRenderedPageBreak/>
        <w:t xml:space="preserve">for </w:t>
      </w:r>
      <w:r w:rsidRPr="002A2C7E">
        <w:rPr>
          <w:rFonts w:ascii="Century Schoolbook" w:hAnsi="Century Schoolbook"/>
          <w:i/>
        </w:rPr>
        <w:t>limited</w:t>
      </w:r>
      <w:r w:rsidRPr="002A2C7E">
        <w:rPr>
          <w:rFonts w:ascii="Century Schoolbook" w:hAnsi="Century Schoolbook"/>
        </w:rPr>
        <w:t xml:space="preserve"> Times to Authors and Inventors the exclusive Right to their respective Writings and Discoveries</w:t>
      </w:r>
      <w:r w:rsidR="00B67C9A">
        <w:rPr>
          <w:rFonts w:ascii="Century Schoolbook" w:hAnsi="Century Schoolbook"/>
        </w:rPr>
        <w:t xml:space="preserve"> </w:t>
      </w:r>
      <w:proofErr w:type="gramStart"/>
      <w:r w:rsidR="00B67C9A">
        <w:rPr>
          <w:rFonts w:ascii="Century Schoolbook" w:hAnsi="Century Schoolbook"/>
        </w:rPr>
        <w:t>. . . .</w:t>
      </w:r>
      <w:proofErr w:type="gramEnd"/>
      <w:r w:rsidRPr="002A2C7E">
        <w:rPr>
          <w:rFonts w:ascii="Century Schoolbook" w:hAnsi="Century Schoolbook"/>
        </w:rPr>
        <w:t>”</w:t>
      </w:r>
      <w:r w:rsidR="00B67C9A">
        <w:rPr>
          <w:rFonts w:ascii="Century Schoolbook" w:hAnsi="Century Schoolbook"/>
        </w:rPr>
        <w:t>)</w:t>
      </w:r>
      <w:r w:rsidRPr="002A2C7E">
        <w:rPr>
          <w:rFonts w:ascii="Century Schoolbook" w:hAnsi="Century Schoolbook"/>
        </w:rPr>
        <w:t xml:space="preserve"> (emphasis added); </w:t>
      </w:r>
      <w:r w:rsidRPr="002A2C7E">
        <w:rPr>
          <w:rFonts w:ascii="Century Schoolbook" w:hAnsi="Century Schoolbook"/>
          <w:i/>
        </w:rPr>
        <w:t xml:space="preserve">see also </w:t>
      </w:r>
      <w:r w:rsidRPr="002A2C7E">
        <w:rPr>
          <w:rFonts w:ascii="Century Schoolbook" w:hAnsi="Century Schoolbook"/>
          <w:i/>
          <w:iCs/>
        </w:rPr>
        <w:t>Bonito Boats, Inc. v. Thunder Craft Boats, Inc.</w:t>
      </w:r>
      <w:r w:rsidRPr="002A2C7E">
        <w:rPr>
          <w:rFonts w:ascii="Century Schoolbook" w:hAnsi="Century Schoolbook"/>
          <w:iCs/>
        </w:rPr>
        <w:t>,</w:t>
      </w:r>
      <w:r w:rsidR="00B67C9A">
        <w:rPr>
          <w:rFonts w:ascii="Century Schoolbook" w:hAnsi="Century Schoolbook"/>
        </w:rPr>
        <w:t xml:space="preserve"> </w:t>
      </w:r>
      <w:r w:rsidRPr="002A2C7E">
        <w:rPr>
          <w:rFonts w:ascii="Century Schoolbook" w:hAnsi="Century Schoolbook"/>
        </w:rPr>
        <w:t>489</w:t>
      </w:r>
      <w:r w:rsidR="00B67C9A">
        <w:rPr>
          <w:rFonts w:ascii="Century Schoolbook" w:hAnsi="Century Schoolbook"/>
        </w:rPr>
        <w:t> </w:t>
      </w:r>
      <w:r w:rsidRPr="002A2C7E">
        <w:rPr>
          <w:rFonts w:ascii="Century Schoolbook" w:hAnsi="Century Schoolbook"/>
        </w:rPr>
        <w:t>U.S. 141, 146 (1989) (explaining that Congress cannot grant patents which are unlimited in duration).</w:t>
      </w:r>
    </w:p>
    <w:p w14:paraId="13275A82" w14:textId="77777777" w:rsidR="00953BB2" w:rsidRPr="002A2C7E" w:rsidRDefault="00953BB2" w:rsidP="007B1E98">
      <w:pPr>
        <w:spacing w:after="0" w:line="240" w:lineRule="auto"/>
        <w:ind w:firstLine="720"/>
        <w:jc w:val="both"/>
        <w:rPr>
          <w:rFonts w:ascii="Century Schoolbook" w:hAnsi="Century Schoolbook"/>
        </w:rPr>
      </w:pPr>
    </w:p>
    <w:p w14:paraId="602B98E5" w14:textId="67C7ED70" w:rsidR="00E10AB7" w:rsidRDefault="00E10AB7" w:rsidP="00166AD2">
      <w:pPr>
        <w:spacing w:after="0" w:line="240" w:lineRule="auto"/>
        <w:ind w:firstLine="720"/>
        <w:jc w:val="both"/>
        <w:rPr>
          <w:rFonts w:ascii="Century Schoolbook" w:hAnsi="Century Schoolbook"/>
        </w:rPr>
      </w:pPr>
      <w:r w:rsidRPr="002A2C7E">
        <w:rPr>
          <w:rFonts w:ascii="Century Schoolbook" w:hAnsi="Century Schoolbook"/>
        </w:rPr>
        <w:t xml:space="preserve">Appellant would then contend that allowing the trademark on a visual character whose copyright has expired will violate this bargain. Appellant might cite to </w:t>
      </w:r>
      <w:proofErr w:type="spellStart"/>
      <w:r w:rsidRPr="002A2C7E">
        <w:rPr>
          <w:rFonts w:ascii="Century Schoolbook" w:hAnsi="Century Schoolbook"/>
          <w:i/>
        </w:rPr>
        <w:t>Dastar</w:t>
      </w:r>
      <w:proofErr w:type="spellEnd"/>
      <w:r w:rsidRPr="002A2C7E">
        <w:rPr>
          <w:rFonts w:ascii="Century Schoolbook" w:hAnsi="Century Schoolbook"/>
        </w:rPr>
        <w:t xml:space="preserve"> to say that when such a conflict arises, the copyright bargain prevails over trademark concerns. However, the counterargument for this is that </w:t>
      </w:r>
      <w:proofErr w:type="spellStart"/>
      <w:r w:rsidRPr="002A2C7E">
        <w:rPr>
          <w:rFonts w:ascii="Century Schoolbook" w:hAnsi="Century Schoolbook"/>
          <w:i/>
        </w:rPr>
        <w:t>Dastar</w:t>
      </w:r>
      <w:proofErr w:type="spellEnd"/>
      <w:r w:rsidRPr="002A2C7E">
        <w:rPr>
          <w:rFonts w:ascii="Century Schoolbook" w:hAnsi="Century Schoolbook"/>
        </w:rPr>
        <w:t xml:space="preserve"> itself only held that the Lanham Act should be interpreted in such a way that a conflict can fairly be avoided</w:t>
      </w:r>
      <w:r w:rsidRPr="002A2C7E">
        <w:rPr>
          <w:rFonts w:ascii="Century Schoolbook" w:hAnsi="Century Schoolbook"/>
          <w:i/>
        </w:rPr>
        <w:t xml:space="preserve">. </w:t>
      </w:r>
      <w:proofErr w:type="spellStart"/>
      <w:r w:rsidRPr="002A2C7E">
        <w:rPr>
          <w:rFonts w:ascii="Century Schoolbook" w:hAnsi="Century Schoolbook"/>
          <w:i/>
        </w:rPr>
        <w:t>Dastar</w:t>
      </w:r>
      <w:proofErr w:type="spellEnd"/>
      <w:r w:rsidR="00B67C9A">
        <w:rPr>
          <w:rFonts w:ascii="Century Schoolbook" w:hAnsi="Century Schoolbook"/>
          <w:iCs/>
        </w:rPr>
        <w:t>,</w:t>
      </w:r>
      <w:r w:rsidRPr="002A2C7E">
        <w:rPr>
          <w:rFonts w:ascii="Century Schoolbook" w:hAnsi="Century Schoolbook"/>
        </w:rPr>
        <w:t xml:space="preserve"> 539 U.S. at 34. If Appellant says the copyright bargain is constitutional in stature, they should also invoke the canon of constitutional avoidance and say that any interpretation which disrupts the bargain raises serious questions of constitutionality and should therefore be avoided. </w:t>
      </w:r>
      <w:r w:rsidRPr="002A2C7E">
        <w:rPr>
          <w:rFonts w:ascii="Century Schoolbook" w:hAnsi="Century Schoolbook"/>
          <w:i/>
          <w:iCs/>
        </w:rPr>
        <w:t xml:space="preserve">See </w:t>
      </w:r>
      <w:r w:rsidRPr="002A2C7E">
        <w:rPr>
          <w:rFonts w:ascii="Century Schoolbook" w:hAnsi="Century Schoolbook"/>
          <w:i/>
        </w:rPr>
        <w:t>Jennings</w:t>
      </w:r>
      <w:r w:rsidRPr="002A2C7E">
        <w:rPr>
          <w:rFonts w:ascii="Century Schoolbook" w:hAnsi="Century Schoolbook"/>
        </w:rPr>
        <w:t xml:space="preserve">, 138 S. Ct. </w:t>
      </w:r>
      <w:r w:rsidR="00B67C9A">
        <w:rPr>
          <w:rFonts w:ascii="Century Schoolbook" w:hAnsi="Century Schoolbook"/>
        </w:rPr>
        <w:t>at</w:t>
      </w:r>
      <w:r w:rsidRPr="002A2C7E">
        <w:rPr>
          <w:rFonts w:ascii="Century Schoolbook" w:hAnsi="Century Schoolbook"/>
        </w:rPr>
        <w:t xml:space="preserve"> 836 (explaining that under the canon of constitutional avoidance, courts should avoid statutory interpretations which </w:t>
      </w:r>
      <w:r w:rsidRPr="002A2C7E">
        <w:rPr>
          <w:rFonts w:ascii="Century Schoolbook" w:hAnsi="Century Schoolbook"/>
          <w:i/>
        </w:rPr>
        <w:t>raise</w:t>
      </w:r>
      <w:r w:rsidRPr="002A2C7E">
        <w:rPr>
          <w:rFonts w:ascii="Century Schoolbook" w:hAnsi="Century Schoolbook"/>
        </w:rPr>
        <w:t xml:space="preserve"> serious constitutional questions if fairly possible).</w:t>
      </w:r>
    </w:p>
    <w:p w14:paraId="7BECD513" w14:textId="77777777" w:rsidR="00953BB2" w:rsidRPr="002A2C7E" w:rsidRDefault="00953BB2" w:rsidP="007B1E98">
      <w:pPr>
        <w:spacing w:after="0" w:line="240" w:lineRule="auto"/>
        <w:jc w:val="both"/>
        <w:rPr>
          <w:rFonts w:ascii="Century Schoolbook" w:hAnsi="Century Schoolbook"/>
        </w:rPr>
      </w:pPr>
    </w:p>
    <w:p w14:paraId="189FB211" w14:textId="1934C5BF" w:rsidR="00E10AB7" w:rsidRPr="002A2C7E" w:rsidRDefault="00E10AB7" w:rsidP="00166AD2">
      <w:pPr>
        <w:spacing w:after="0" w:line="240" w:lineRule="auto"/>
        <w:ind w:firstLine="720"/>
        <w:jc w:val="both"/>
        <w:rPr>
          <w:rFonts w:ascii="Century Schoolbook" w:hAnsi="Century Schoolbook"/>
        </w:rPr>
      </w:pPr>
      <w:r w:rsidRPr="002A2C7E">
        <w:rPr>
          <w:rFonts w:ascii="Century Schoolbook" w:hAnsi="Century Schoolbook"/>
        </w:rPr>
        <w:t>Appellant will have several options for how to interpret the Lanham Act to find the trademark unenforceable. The most obvious would be to read in the public domain status of a work as grounds for cancellation under 15</w:t>
      </w:r>
      <w:r w:rsidR="004E380D">
        <w:rPr>
          <w:rFonts w:ascii="Century Schoolbook" w:hAnsi="Century Schoolbook"/>
        </w:rPr>
        <w:t> </w:t>
      </w:r>
      <w:r w:rsidRPr="002A2C7E">
        <w:rPr>
          <w:rFonts w:ascii="Century Schoolbook" w:hAnsi="Century Schoolbook"/>
        </w:rPr>
        <w:t>U.S.C. §</w:t>
      </w:r>
      <w:r w:rsidR="004E380D">
        <w:rPr>
          <w:rFonts w:ascii="Century Schoolbook" w:hAnsi="Century Schoolbook"/>
        </w:rPr>
        <w:t> </w:t>
      </w:r>
      <w:r w:rsidRPr="002A2C7E">
        <w:rPr>
          <w:rFonts w:ascii="Century Schoolbook" w:hAnsi="Century Schoolbook"/>
        </w:rPr>
        <w:t xml:space="preserve">1064, which is what the original Fourteenth Circuit opinion did. If appellant makes such an argument, they should be </w:t>
      </w:r>
      <w:proofErr w:type="gramStart"/>
      <w:r w:rsidRPr="002A2C7E">
        <w:rPr>
          <w:rFonts w:ascii="Century Schoolbook" w:hAnsi="Century Schoolbook"/>
        </w:rPr>
        <w:t>prepared  to</w:t>
      </w:r>
      <w:proofErr w:type="gramEnd"/>
      <w:r w:rsidRPr="002A2C7E">
        <w:rPr>
          <w:rFonts w:ascii="Century Schoolbook" w:hAnsi="Century Schoolbook"/>
        </w:rPr>
        <w:t xml:space="preserve"> distinguish, if at all, between creative works which later gave rise to trademarks, and visual mascots and logos which were originally created as trademarks and received copyright protection inadvertently. Appellant might urge the court to interpret the functionality grounds for cancellation under 15</w:t>
      </w:r>
      <w:r w:rsidR="00B044C6">
        <w:rPr>
          <w:rFonts w:ascii="Century Schoolbook" w:hAnsi="Century Schoolbook"/>
        </w:rPr>
        <w:t> </w:t>
      </w:r>
      <w:r w:rsidRPr="002A2C7E">
        <w:rPr>
          <w:rFonts w:ascii="Century Schoolbook" w:hAnsi="Century Schoolbook"/>
        </w:rPr>
        <w:t>U.S.C. §</w:t>
      </w:r>
      <w:r w:rsidR="00B044C6">
        <w:rPr>
          <w:rFonts w:ascii="Century Schoolbook" w:hAnsi="Century Schoolbook"/>
        </w:rPr>
        <w:t> </w:t>
      </w:r>
      <w:r w:rsidRPr="002A2C7E">
        <w:rPr>
          <w:rFonts w:ascii="Century Schoolbook" w:hAnsi="Century Schoolbook"/>
        </w:rPr>
        <w:t xml:space="preserve">1064 as a reason to cancel trademarks on works in the public domain for being aesthetically functional. Aesthetic functionality is a preexisting doctrine, although it does not yet clearly extend to the trademarks at issue because Appellant could have used alternative footage for their advertisement. </w:t>
      </w:r>
      <w:r w:rsidRPr="002A2C7E">
        <w:rPr>
          <w:rFonts w:ascii="Century Schoolbook" w:hAnsi="Century Schoolbook"/>
          <w:i/>
        </w:rPr>
        <w:t xml:space="preserve">See </w:t>
      </w:r>
      <w:proofErr w:type="spellStart"/>
      <w:r w:rsidRPr="002A2C7E">
        <w:rPr>
          <w:rFonts w:ascii="Century Schoolbook" w:hAnsi="Century Schoolbook"/>
          <w:i/>
        </w:rPr>
        <w:t>Qualitex</w:t>
      </w:r>
      <w:proofErr w:type="spellEnd"/>
      <w:r w:rsidRPr="002A2C7E">
        <w:rPr>
          <w:rFonts w:ascii="Century Schoolbook" w:hAnsi="Century Schoolbook"/>
          <w:i/>
        </w:rPr>
        <w:t xml:space="preserve"> Co. v. Jacobson Prods. Co.</w:t>
      </w:r>
      <w:r w:rsidRPr="002A2C7E">
        <w:rPr>
          <w:rFonts w:ascii="Century Schoolbook" w:hAnsi="Century Schoolbook"/>
        </w:rPr>
        <w:t xml:space="preserve">, 514 U.S. 159, 165 (1995) (holding that a feature is aesthetically functional “if exclusive use of the feature would put competitors at a significant non-reputation-related disadvantage”); </w:t>
      </w:r>
      <w:proofErr w:type="spellStart"/>
      <w:r w:rsidRPr="002A2C7E">
        <w:rPr>
          <w:rFonts w:ascii="Century Schoolbook" w:hAnsi="Century Schoolbook"/>
          <w:i/>
        </w:rPr>
        <w:t>Moldex</w:t>
      </w:r>
      <w:proofErr w:type="spellEnd"/>
      <w:r w:rsidRPr="002A2C7E">
        <w:rPr>
          <w:rFonts w:ascii="Century Schoolbook" w:hAnsi="Century Schoolbook"/>
          <w:i/>
        </w:rPr>
        <w:t>-Metric, Inc. v. McKeon Prods., Inc.</w:t>
      </w:r>
      <w:r w:rsidRPr="002A2C7E">
        <w:rPr>
          <w:rFonts w:ascii="Century Schoolbook" w:hAnsi="Century Schoolbook"/>
        </w:rPr>
        <w:t>, 891 F.3d 878, 883</w:t>
      </w:r>
      <w:bookmarkStart w:id="4" w:name="_Hlk52530879"/>
      <w:r w:rsidRPr="002A2C7E">
        <w:rPr>
          <w:rFonts w:ascii="Century Schoolbook" w:hAnsi="Century Schoolbook"/>
        </w:rPr>
        <w:t>–</w:t>
      </w:r>
      <w:bookmarkEnd w:id="4"/>
      <w:r w:rsidRPr="002A2C7E">
        <w:rPr>
          <w:rFonts w:ascii="Century Schoolbook" w:hAnsi="Century Schoolbook"/>
        </w:rPr>
        <w:t xml:space="preserve">86 (9th Cir. 2018) (explaining that the availability of alternative designs may be considered in determining if a particular design is aesthetically functional). </w:t>
      </w:r>
    </w:p>
    <w:p w14:paraId="7E661328" w14:textId="77777777" w:rsidR="00D2750B" w:rsidRDefault="00D2750B" w:rsidP="007B1E98">
      <w:pPr>
        <w:spacing w:after="0" w:line="240" w:lineRule="auto"/>
        <w:ind w:firstLine="720"/>
        <w:jc w:val="both"/>
        <w:rPr>
          <w:rFonts w:ascii="Century Schoolbook" w:hAnsi="Century Schoolbook"/>
        </w:rPr>
      </w:pPr>
    </w:p>
    <w:p w14:paraId="3FBEFBD8" w14:textId="31E16695"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If Appellee anticipates this argument, they may argue that although there </w:t>
      </w:r>
      <w:r w:rsidR="00B044C6">
        <w:rPr>
          <w:rFonts w:ascii="Century Schoolbook" w:hAnsi="Century Schoolbook"/>
        </w:rPr>
        <w:t>could</w:t>
      </w:r>
      <w:r w:rsidR="00B044C6" w:rsidRPr="002A2C7E">
        <w:rPr>
          <w:rFonts w:ascii="Century Schoolbook" w:hAnsi="Century Schoolbook"/>
        </w:rPr>
        <w:t xml:space="preserve"> </w:t>
      </w:r>
      <w:r w:rsidRPr="002A2C7E">
        <w:rPr>
          <w:rFonts w:ascii="Century Schoolbook" w:hAnsi="Century Schoolbook"/>
        </w:rPr>
        <w:t>be some conflict, there is no permissible interpretation of the Lanham Act which avoids the conflict without rewriting the statute.</w:t>
      </w:r>
    </w:p>
    <w:p w14:paraId="4A9B8B72" w14:textId="77777777" w:rsidR="00953BB2" w:rsidRPr="002A2C7E" w:rsidRDefault="00953BB2" w:rsidP="007B1E98">
      <w:pPr>
        <w:spacing w:after="0" w:line="240" w:lineRule="auto"/>
        <w:ind w:firstLine="720"/>
        <w:jc w:val="both"/>
        <w:rPr>
          <w:rFonts w:ascii="Century Schoolbook" w:hAnsi="Century Schoolbook"/>
        </w:rPr>
      </w:pPr>
    </w:p>
    <w:p w14:paraId="030C6862" w14:textId="4C4171D9" w:rsidR="00E10AB7"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Successfully persuading the court to interpret the Lanham Act favorably wins the case for Appellant. In considering if Appellant’s interpretation is persuasive, judges should feel free to weigh not only statutory arguments, but also policy positions and the extent to which (if at all) the “copyright bargain” conflicts with </w:t>
      </w:r>
      <w:r w:rsidRPr="002A2C7E">
        <w:rPr>
          <w:rFonts w:ascii="Century Schoolbook" w:hAnsi="Century Schoolbook"/>
        </w:rPr>
        <w:lastRenderedPageBreak/>
        <w:t xml:space="preserve">Appellee’s position as shown through case law, especially the patent-trademark cases discussed below. </w:t>
      </w:r>
    </w:p>
    <w:p w14:paraId="05B97F15" w14:textId="77777777" w:rsidR="00953BB2" w:rsidRPr="002A2C7E" w:rsidRDefault="00953BB2" w:rsidP="007B1E98">
      <w:pPr>
        <w:spacing w:after="0" w:line="240" w:lineRule="auto"/>
        <w:ind w:firstLine="720"/>
        <w:jc w:val="both"/>
        <w:rPr>
          <w:rFonts w:ascii="Century Schoolbook" w:hAnsi="Century Schoolbook"/>
        </w:rPr>
      </w:pPr>
    </w:p>
    <w:p w14:paraId="0E0D259C" w14:textId="77777777"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If the Appellant loses on this argument, they may still prevail in this case by winning on the second issue.</w:t>
      </w:r>
    </w:p>
    <w:p w14:paraId="29689962" w14:textId="77777777" w:rsidR="00E10AB7" w:rsidRPr="002A2C7E" w:rsidRDefault="00E10AB7" w:rsidP="007B1E98">
      <w:pPr>
        <w:spacing w:after="0" w:line="240" w:lineRule="auto"/>
        <w:ind w:firstLine="720"/>
        <w:jc w:val="both"/>
        <w:rPr>
          <w:rFonts w:ascii="Century Schoolbook" w:hAnsi="Century Schoolbook"/>
        </w:rPr>
      </w:pPr>
    </w:p>
    <w:p w14:paraId="2CD10890" w14:textId="77777777" w:rsidR="00E10AB7" w:rsidRPr="002A2C7E" w:rsidRDefault="00E10AB7" w:rsidP="00166AD2">
      <w:pPr>
        <w:keepNext/>
        <w:keepLines/>
        <w:spacing w:after="0" w:line="240" w:lineRule="auto"/>
        <w:ind w:left="1440" w:hanging="720"/>
        <w:jc w:val="both"/>
        <w:rPr>
          <w:rFonts w:ascii="Century Schoolbook" w:hAnsi="Century Schoolbook"/>
          <w:b/>
        </w:rPr>
      </w:pPr>
      <w:r w:rsidRPr="002A2C7E">
        <w:rPr>
          <w:rFonts w:ascii="Century Schoolbook" w:hAnsi="Century Schoolbook"/>
          <w:b/>
        </w:rPr>
        <w:t>B.</w:t>
      </w:r>
      <w:r w:rsidRPr="002A2C7E">
        <w:rPr>
          <w:rFonts w:ascii="Century Schoolbook" w:hAnsi="Century Schoolbook"/>
          <w:b/>
        </w:rPr>
        <w:tab/>
        <w:t>Parties Will Disagree Over the Application of Patent-Trademark Cases.</w:t>
      </w:r>
    </w:p>
    <w:p w14:paraId="6A424C7C" w14:textId="77777777" w:rsidR="00E10AB7" w:rsidRPr="002A2C7E" w:rsidRDefault="00E10AB7" w:rsidP="007B1E98">
      <w:pPr>
        <w:spacing w:after="0" w:line="240" w:lineRule="auto"/>
        <w:ind w:left="1440" w:hanging="720"/>
        <w:jc w:val="both"/>
        <w:rPr>
          <w:rFonts w:ascii="Century Schoolbook" w:hAnsi="Century Schoolbook"/>
          <w:b/>
        </w:rPr>
      </w:pPr>
    </w:p>
    <w:p w14:paraId="0C7D1887" w14:textId="77777777"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Because both copyright and patent have similar concerns about the public domain, both parties will reference older patent-trademark cases which also dealt with similar issues regarding trademarking public domain material. </w:t>
      </w:r>
      <w:r w:rsidRPr="002A2C7E">
        <w:rPr>
          <w:rFonts w:ascii="Century Schoolbook" w:hAnsi="Century Schoolbook"/>
          <w:i/>
        </w:rPr>
        <w:t xml:space="preserve">See </w:t>
      </w:r>
      <w:proofErr w:type="spellStart"/>
      <w:r w:rsidRPr="002A2C7E">
        <w:rPr>
          <w:rFonts w:ascii="Century Schoolbook" w:hAnsi="Century Schoolbook"/>
          <w:i/>
        </w:rPr>
        <w:t>Dastar</w:t>
      </w:r>
      <w:proofErr w:type="spellEnd"/>
      <w:r w:rsidRPr="002A2C7E">
        <w:rPr>
          <w:rFonts w:ascii="Century Schoolbook" w:hAnsi="Century Schoolbook"/>
          <w:i/>
        </w:rPr>
        <w:t xml:space="preserve"> Corp.</w:t>
      </w:r>
      <w:r w:rsidRPr="002A2C7E">
        <w:rPr>
          <w:rFonts w:ascii="Century Schoolbook" w:hAnsi="Century Schoolbook"/>
        </w:rPr>
        <w:t xml:space="preserve">, 539 U.S. at 33–34 (explaining that both copyright and patent have a public domain). </w:t>
      </w:r>
    </w:p>
    <w:p w14:paraId="3622A09A" w14:textId="77777777" w:rsidR="00E10AB7" w:rsidRPr="002A2C7E" w:rsidRDefault="00E10AB7" w:rsidP="007B1E98">
      <w:pPr>
        <w:spacing w:after="0" w:line="240" w:lineRule="auto"/>
        <w:ind w:firstLine="720"/>
        <w:jc w:val="both"/>
        <w:rPr>
          <w:rFonts w:ascii="Century Schoolbook" w:hAnsi="Century Schoolbook"/>
        </w:rPr>
      </w:pPr>
    </w:p>
    <w:p w14:paraId="6977F834" w14:textId="203DF4DD"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Appellee will claim that the case law generally supports their position. For instance, in the seminal case on the subject, </w:t>
      </w:r>
      <w:r w:rsidRPr="002A2C7E">
        <w:rPr>
          <w:rFonts w:ascii="Century Schoolbook" w:hAnsi="Century Schoolbook"/>
          <w:i/>
        </w:rPr>
        <w:t>Application of Mogen David Wine Corp.</w:t>
      </w:r>
      <w:r w:rsidRPr="002A2C7E">
        <w:rPr>
          <w:rFonts w:ascii="Century Schoolbook" w:hAnsi="Century Schoolbook"/>
        </w:rPr>
        <w:t>, 328 F.2d 925 (C.C.P.A. 1964), the Court of Customs and Patent Appeals</w:t>
      </w:r>
      <w:r w:rsidR="00D2750B">
        <w:rPr>
          <w:rFonts w:ascii="Century Schoolbook" w:hAnsi="Century Schoolbook"/>
        </w:rPr>
        <w:t>—</w:t>
      </w:r>
      <w:r w:rsidRPr="002A2C7E">
        <w:rPr>
          <w:rFonts w:ascii="Century Schoolbook" w:hAnsi="Century Schoolbook"/>
        </w:rPr>
        <w:t>the precursor to the Federal Circuit</w:t>
      </w:r>
      <w:r w:rsidR="00D2750B">
        <w:rPr>
          <w:rFonts w:ascii="Century Schoolbook" w:hAnsi="Century Schoolbook"/>
        </w:rPr>
        <w:t>—</w:t>
      </w:r>
      <w:r w:rsidRPr="002A2C7E">
        <w:rPr>
          <w:rFonts w:ascii="Century Schoolbook" w:hAnsi="Century Schoolbook"/>
        </w:rPr>
        <w:t xml:space="preserve">unequivocally stated that a patented design entering the public domain has no effect on said design’s </w:t>
      </w:r>
      <w:proofErr w:type="spellStart"/>
      <w:r w:rsidRPr="002A2C7E">
        <w:rPr>
          <w:rFonts w:ascii="Century Schoolbook" w:hAnsi="Century Schoolbook"/>
        </w:rPr>
        <w:t>trademarkability</w:t>
      </w:r>
      <w:proofErr w:type="spellEnd"/>
      <w:r w:rsidRPr="002A2C7E">
        <w:rPr>
          <w:rFonts w:ascii="Century Schoolbook" w:hAnsi="Century Schoolbook"/>
        </w:rPr>
        <w:t xml:space="preserve">. </w:t>
      </w:r>
      <w:r w:rsidRPr="002A2C7E">
        <w:rPr>
          <w:rFonts w:ascii="Century Schoolbook" w:hAnsi="Century Schoolbook"/>
          <w:i/>
        </w:rPr>
        <w:t>Application of Mogen David Wine Corp.</w:t>
      </w:r>
      <w:r w:rsidRPr="002A2C7E">
        <w:rPr>
          <w:rFonts w:ascii="Century Schoolbook" w:hAnsi="Century Schoolbook"/>
        </w:rPr>
        <w:t xml:space="preserve">, 328 F.2d at 928–930 (“The termination of either has no legal effect on the continuance of the other.”) The court stated that “trademark rights, or rights under the law of unfair competition, which happen to continue beyond the expiration of a design patent, do not ‘extend’ the patent monopoly. They exist independently of it, under different law and for different reasons.” </w:t>
      </w:r>
      <w:r w:rsidRPr="002A2C7E">
        <w:rPr>
          <w:rFonts w:ascii="Century Schoolbook" w:hAnsi="Century Schoolbook"/>
          <w:i/>
        </w:rPr>
        <w:t xml:space="preserve">Id. </w:t>
      </w:r>
      <w:r w:rsidRPr="002A2C7E">
        <w:rPr>
          <w:rFonts w:ascii="Century Schoolbook" w:hAnsi="Century Schoolbook"/>
        </w:rPr>
        <w:t>at 930.</w:t>
      </w:r>
    </w:p>
    <w:p w14:paraId="3A79CEF0" w14:textId="77777777" w:rsidR="00E10AB7" w:rsidRPr="002A2C7E" w:rsidRDefault="00E10AB7" w:rsidP="007B1E98">
      <w:pPr>
        <w:spacing w:after="0" w:line="240" w:lineRule="auto"/>
        <w:ind w:firstLine="720"/>
        <w:jc w:val="both"/>
        <w:rPr>
          <w:rFonts w:ascii="Century Schoolbook" w:hAnsi="Century Schoolbook"/>
        </w:rPr>
      </w:pPr>
    </w:p>
    <w:p w14:paraId="6E04A42D" w14:textId="465B147C"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hAnsi="Century Schoolbook"/>
        </w:rPr>
        <w:t xml:space="preserve">Other circuit courts reached similar conclusions. The Seventh Circuit declared that the disclosure of a particular design in an expired patent did not “automatically </w:t>
      </w:r>
      <w:proofErr w:type="gramStart"/>
      <w:r w:rsidRPr="002A2C7E">
        <w:rPr>
          <w:rFonts w:ascii="Century Schoolbook" w:hAnsi="Century Schoolbook"/>
        </w:rPr>
        <w:t>preclude[</w:t>
      </w:r>
      <w:proofErr w:type="gramEnd"/>
      <w:r w:rsidRPr="002A2C7E">
        <w:rPr>
          <w:rFonts w:ascii="Century Schoolbook" w:hAnsi="Century Schoolbook"/>
        </w:rPr>
        <w:t xml:space="preserve">] trademark protection.” </w:t>
      </w:r>
      <w:r w:rsidRPr="002A2C7E">
        <w:rPr>
          <w:rFonts w:ascii="Century Schoolbook" w:eastAsia="Times New Roman" w:hAnsi="Century Schoolbook"/>
          <w:i/>
          <w:color w:val="000000"/>
          <w:bdr w:val="none" w:sz="0" w:space="0" w:color="auto" w:frame="1"/>
        </w:rPr>
        <w:t>Thomas &amp; Betts Corp. v. Panduit Corp.</w:t>
      </w:r>
      <w:r w:rsidRPr="002A2C7E">
        <w:rPr>
          <w:rFonts w:ascii="Century Schoolbook" w:eastAsia="Times New Roman" w:hAnsi="Century Schoolbook"/>
          <w:color w:val="000000"/>
          <w:bdr w:val="none" w:sz="0" w:space="0" w:color="auto" w:frame="1"/>
        </w:rPr>
        <w:t xml:space="preserve">, 138 F.3d 277, 290 (7th Cir. 1998). </w:t>
      </w:r>
      <w:r w:rsidR="002A36AE">
        <w:rPr>
          <w:rFonts w:ascii="Century Schoolbook" w:eastAsia="Times New Roman" w:hAnsi="Century Schoolbook"/>
          <w:color w:val="000000"/>
          <w:bdr w:val="none" w:sz="0" w:space="0" w:color="auto" w:frame="1"/>
        </w:rPr>
        <w:t>T</w:t>
      </w:r>
      <w:r w:rsidRPr="002A2C7E">
        <w:rPr>
          <w:rFonts w:ascii="Century Schoolbook" w:eastAsia="Times New Roman" w:hAnsi="Century Schoolbook"/>
          <w:color w:val="000000"/>
          <w:bdr w:val="none" w:sz="0" w:space="0" w:color="auto" w:frame="1"/>
        </w:rPr>
        <w:t>he Seventh Circuit</w:t>
      </w:r>
      <w:r w:rsidR="002A36AE">
        <w:rPr>
          <w:rFonts w:ascii="Century Schoolbook" w:eastAsia="Times New Roman" w:hAnsi="Century Schoolbook"/>
          <w:color w:val="000000"/>
          <w:bdr w:val="none" w:sz="0" w:space="0" w:color="auto" w:frame="1"/>
        </w:rPr>
        <w:t>, however,</w:t>
      </w:r>
      <w:r w:rsidRPr="002A2C7E">
        <w:rPr>
          <w:rFonts w:ascii="Century Schoolbook" w:eastAsia="Times New Roman" w:hAnsi="Century Schoolbook"/>
          <w:color w:val="000000"/>
          <w:bdr w:val="none" w:sz="0" w:space="0" w:color="auto" w:frame="1"/>
        </w:rPr>
        <w:t xml:space="preserve"> was careful to note that the design had not been claimed by the patent, and thus understood the design as not having been formally protected.</w:t>
      </w:r>
      <w:r w:rsidR="00812416">
        <w:rPr>
          <w:rFonts w:ascii="Century Schoolbook" w:eastAsia="Times New Roman" w:hAnsi="Century Schoolbook"/>
          <w:i/>
          <w:iCs/>
          <w:color w:val="000000"/>
          <w:bdr w:val="none" w:sz="0" w:space="0" w:color="auto" w:frame="1"/>
        </w:rPr>
        <w:t xml:space="preserve"> See </w:t>
      </w:r>
      <w:r w:rsidRPr="002A2C7E">
        <w:rPr>
          <w:rFonts w:ascii="Century Schoolbook" w:eastAsia="Times New Roman" w:hAnsi="Century Schoolbook"/>
          <w:i/>
          <w:color w:val="000000"/>
          <w:bdr w:val="none" w:sz="0" w:space="0" w:color="auto" w:frame="1"/>
        </w:rPr>
        <w:t xml:space="preserve">Id. </w:t>
      </w:r>
      <w:r w:rsidRPr="002A2C7E">
        <w:rPr>
          <w:rFonts w:ascii="Century Schoolbook" w:eastAsia="Times New Roman" w:hAnsi="Century Schoolbook"/>
          <w:color w:val="000000"/>
          <w:bdr w:val="none" w:sz="0" w:space="0" w:color="auto" w:frame="1"/>
        </w:rPr>
        <w:t xml:space="preserve">The Fifth Circuit likewise found that an expired patent on certain features did not prevent those features from being protected by the Lanham Act. </w:t>
      </w:r>
      <w:r w:rsidRPr="002A2C7E">
        <w:rPr>
          <w:rFonts w:ascii="Century Schoolbook" w:eastAsia="Times New Roman" w:hAnsi="Century Schoolbook"/>
          <w:i/>
          <w:color w:val="000000"/>
          <w:bdr w:val="none" w:sz="0" w:space="0" w:color="auto" w:frame="1"/>
        </w:rPr>
        <w:t>Sunbeam Prods., Inc. v. W. Bend Co.</w:t>
      </w:r>
      <w:r w:rsidRPr="002A2C7E">
        <w:rPr>
          <w:rFonts w:ascii="Century Schoolbook" w:eastAsia="Times New Roman" w:hAnsi="Century Schoolbook"/>
          <w:color w:val="000000"/>
          <w:bdr w:val="none" w:sz="0" w:space="0" w:color="auto" w:frame="1"/>
        </w:rPr>
        <w:t xml:space="preserve">, 123 F.3d 246, 255–56 (5th Cir. 1997). The Federal Circuit reaffirmed the decision of its precursor court and held that an expired patent on a design was no bar to trade dress protection. </w:t>
      </w:r>
      <w:r w:rsidRPr="002A2C7E">
        <w:rPr>
          <w:rFonts w:ascii="Century Schoolbook" w:eastAsia="Times New Roman" w:hAnsi="Century Schoolbook"/>
          <w:i/>
          <w:color w:val="000000"/>
          <w:bdr w:val="none" w:sz="0" w:space="0" w:color="auto" w:frame="1"/>
        </w:rPr>
        <w:t xml:space="preserve">See Midwest Indus. v. </w:t>
      </w:r>
      <w:proofErr w:type="spellStart"/>
      <w:r w:rsidRPr="002A2C7E">
        <w:rPr>
          <w:rFonts w:ascii="Century Schoolbook" w:eastAsia="Times New Roman" w:hAnsi="Century Schoolbook"/>
          <w:i/>
          <w:color w:val="000000"/>
          <w:bdr w:val="none" w:sz="0" w:space="0" w:color="auto" w:frame="1"/>
        </w:rPr>
        <w:t>Karavan</w:t>
      </w:r>
      <w:proofErr w:type="spellEnd"/>
      <w:r w:rsidRPr="002A2C7E">
        <w:rPr>
          <w:rFonts w:ascii="Century Schoolbook" w:eastAsia="Times New Roman" w:hAnsi="Century Schoolbook"/>
          <w:i/>
          <w:color w:val="000000"/>
          <w:bdr w:val="none" w:sz="0" w:space="0" w:color="auto" w:frame="1"/>
        </w:rPr>
        <w:t xml:space="preserve"> Trailers, Inc.</w:t>
      </w:r>
      <w:r w:rsidRPr="002A2C7E">
        <w:rPr>
          <w:rFonts w:ascii="Century Schoolbook" w:eastAsia="Times New Roman" w:hAnsi="Century Schoolbook"/>
          <w:color w:val="000000"/>
          <w:bdr w:val="none" w:sz="0" w:space="0" w:color="auto" w:frame="1"/>
        </w:rPr>
        <w:t>, 175</w:t>
      </w:r>
      <w:r w:rsidR="002A36AE">
        <w:rPr>
          <w:rFonts w:ascii="Century Schoolbook" w:eastAsia="Times New Roman" w:hAnsi="Century Schoolbook"/>
          <w:color w:val="000000"/>
          <w:bdr w:val="none" w:sz="0" w:space="0" w:color="auto" w:frame="1"/>
        </w:rPr>
        <w:t> </w:t>
      </w:r>
      <w:r w:rsidRPr="002A2C7E">
        <w:rPr>
          <w:rFonts w:ascii="Century Schoolbook" w:eastAsia="Times New Roman" w:hAnsi="Century Schoolbook"/>
          <w:color w:val="000000"/>
          <w:bdr w:val="none" w:sz="0" w:space="0" w:color="auto" w:frame="1"/>
        </w:rPr>
        <w:t>F.3d 1356, 1364 (Fed.</w:t>
      </w:r>
      <w:r w:rsidR="002A36AE">
        <w:rPr>
          <w:rFonts w:ascii="Century Schoolbook" w:eastAsia="Times New Roman" w:hAnsi="Century Schoolbook"/>
          <w:color w:val="000000"/>
          <w:bdr w:val="none" w:sz="0" w:space="0" w:color="auto" w:frame="1"/>
        </w:rPr>
        <w:t> </w:t>
      </w:r>
      <w:r w:rsidRPr="002A2C7E">
        <w:rPr>
          <w:rFonts w:ascii="Century Schoolbook" w:eastAsia="Times New Roman" w:hAnsi="Century Schoolbook"/>
          <w:color w:val="000000"/>
          <w:bdr w:val="none" w:sz="0" w:space="0" w:color="auto" w:frame="1"/>
        </w:rPr>
        <w:t xml:space="preserve">Cir. 1999) (stating that the only reason why a patented design </w:t>
      </w:r>
      <w:r w:rsidRPr="002A2C7E">
        <w:rPr>
          <w:rFonts w:ascii="Century Schoolbook" w:eastAsia="Times New Roman" w:hAnsi="Century Schoolbook"/>
          <w:i/>
          <w:color w:val="000000"/>
          <w:bdr w:val="none" w:sz="0" w:space="0" w:color="auto" w:frame="1"/>
        </w:rPr>
        <w:t>might</w:t>
      </w:r>
      <w:r w:rsidRPr="002A2C7E">
        <w:rPr>
          <w:rFonts w:ascii="Century Schoolbook" w:eastAsia="Times New Roman" w:hAnsi="Century Schoolbook"/>
          <w:color w:val="000000"/>
          <w:bdr w:val="none" w:sz="0" w:space="0" w:color="auto" w:frame="1"/>
        </w:rPr>
        <w:t xml:space="preserve"> be ineligible for trademark protection is because it happens to be functional, but the overlap itself is of no concern).</w:t>
      </w:r>
    </w:p>
    <w:p w14:paraId="431B4E21" w14:textId="77777777"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p>
    <w:p w14:paraId="09912487" w14:textId="43EC9CFC" w:rsidR="00E10AB7" w:rsidRPr="002A2C7E" w:rsidRDefault="00E10AB7" w:rsidP="007B1E98">
      <w:pPr>
        <w:spacing w:after="0" w:line="240" w:lineRule="auto"/>
        <w:ind w:firstLine="720"/>
        <w:jc w:val="both"/>
        <w:rPr>
          <w:rFonts w:ascii="Century Schoolbook" w:eastAsia="Times New Roman" w:hAnsi="Century Schoolbook"/>
          <w:bdr w:val="none" w:sz="0" w:space="0" w:color="auto" w:frame="1"/>
        </w:rPr>
      </w:pPr>
      <w:r w:rsidRPr="002A2C7E">
        <w:rPr>
          <w:rFonts w:ascii="Century Schoolbook" w:eastAsia="Times New Roman" w:hAnsi="Century Schoolbook"/>
          <w:color w:val="000000"/>
          <w:bdr w:val="none" w:sz="0" w:space="0" w:color="auto" w:frame="1"/>
        </w:rPr>
        <w:t xml:space="preserve"> </w:t>
      </w:r>
      <w:r w:rsidR="002A36AE">
        <w:rPr>
          <w:rFonts w:ascii="Century Schoolbook" w:eastAsia="Times New Roman" w:hAnsi="Century Schoolbook"/>
          <w:color w:val="000000"/>
          <w:bdr w:val="none" w:sz="0" w:space="0" w:color="auto" w:frame="1"/>
        </w:rPr>
        <w:t>T</w:t>
      </w:r>
      <w:r w:rsidRPr="002A2C7E">
        <w:rPr>
          <w:rFonts w:ascii="Century Schoolbook" w:eastAsia="Times New Roman" w:hAnsi="Century Schoolbook"/>
          <w:color w:val="000000"/>
          <w:bdr w:val="none" w:sz="0" w:space="0" w:color="auto" w:frame="1"/>
        </w:rPr>
        <w:t>he Tenth Circuit</w:t>
      </w:r>
      <w:r w:rsidR="002A36AE">
        <w:rPr>
          <w:rFonts w:ascii="Century Schoolbook" w:eastAsia="Times New Roman" w:hAnsi="Century Schoolbook"/>
          <w:color w:val="000000"/>
          <w:bdr w:val="none" w:sz="0" w:space="0" w:color="auto" w:frame="1"/>
        </w:rPr>
        <w:t>, however,</w:t>
      </w:r>
      <w:r w:rsidRPr="002A2C7E">
        <w:rPr>
          <w:rFonts w:ascii="Century Schoolbook" w:eastAsia="Times New Roman" w:hAnsi="Century Schoolbook"/>
          <w:color w:val="000000"/>
          <w:bdr w:val="none" w:sz="0" w:space="0" w:color="auto" w:frame="1"/>
        </w:rPr>
        <w:t xml:space="preserve"> came to an opposite conclusion in</w:t>
      </w:r>
      <w:r w:rsidRPr="002A2C7E">
        <w:rPr>
          <w:rFonts w:ascii="Century Schoolbook" w:eastAsia="Times New Roman" w:hAnsi="Century Schoolbook"/>
          <w:i/>
          <w:color w:val="000000"/>
          <w:bdr w:val="none" w:sz="0" w:space="0" w:color="auto" w:frame="1"/>
        </w:rPr>
        <w:t xml:space="preserve"> Vornado Air Circulation Sys., Inc. v. </w:t>
      </w:r>
      <w:proofErr w:type="spellStart"/>
      <w:r w:rsidRPr="002A2C7E">
        <w:rPr>
          <w:rFonts w:ascii="Century Schoolbook" w:eastAsia="Times New Roman" w:hAnsi="Century Schoolbook"/>
          <w:i/>
          <w:color w:val="000000"/>
          <w:bdr w:val="none" w:sz="0" w:space="0" w:color="auto" w:frame="1"/>
        </w:rPr>
        <w:t>Duracraft</w:t>
      </w:r>
      <w:proofErr w:type="spellEnd"/>
      <w:r w:rsidRPr="002A2C7E">
        <w:rPr>
          <w:rFonts w:ascii="Century Schoolbook" w:eastAsia="Times New Roman" w:hAnsi="Century Schoolbook"/>
          <w:i/>
          <w:color w:val="000000"/>
          <w:bdr w:val="none" w:sz="0" w:space="0" w:color="auto" w:frame="1"/>
        </w:rPr>
        <w:t xml:space="preserve"> Corp.</w:t>
      </w:r>
      <w:r w:rsidRPr="002A2C7E">
        <w:rPr>
          <w:rFonts w:ascii="Century Schoolbook" w:eastAsia="Times New Roman" w:hAnsi="Century Schoolbook"/>
          <w:iCs/>
          <w:color w:val="000000"/>
          <w:bdr w:val="none" w:sz="0" w:space="0" w:color="auto" w:frame="1"/>
        </w:rPr>
        <w:t>,</w:t>
      </w:r>
      <w:r w:rsidRPr="002A2C7E">
        <w:rPr>
          <w:rFonts w:ascii="Century Schoolbook" w:eastAsia="Times New Roman" w:hAnsi="Century Schoolbook"/>
          <w:i/>
          <w:color w:val="000000"/>
          <w:bdr w:val="none" w:sz="0" w:space="0" w:color="auto" w:frame="1"/>
        </w:rPr>
        <w:t xml:space="preserve"> </w:t>
      </w:r>
      <w:r w:rsidRPr="002A2C7E">
        <w:rPr>
          <w:rFonts w:ascii="Century Schoolbook" w:eastAsia="Times New Roman" w:hAnsi="Century Schoolbook"/>
          <w:color w:val="000000"/>
          <w:bdr w:val="none" w:sz="0" w:space="0" w:color="auto" w:frame="1"/>
        </w:rPr>
        <w:t>58 F.3d 1498 (10th Cir. 1995). Th</w:t>
      </w:r>
      <w:r w:rsidR="002A36AE">
        <w:rPr>
          <w:rFonts w:ascii="Century Schoolbook" w:eastAsia="Times New Roman" w:hAnsi="Century Schoolbook"/>
          <w:color w:val="000000"/>
          <w:bdr w:val="none" w:sz="0" w:space="0" w:color="auto" w:frame="1"/>
        </w:rPr>
        <w:t>ere, th</w:t>
      </w:r>
      <w:r w:rsidRPr="002A2C7E">
        <w:rPr>
          <w:rFonts w:ascii="Century Schoolbook" w:eastAsia="Times New Roman" w:hAnsi="Century Schoolbook"/>
          <w:color w:val="000000"/>
          <w:bdr w:val="none" w:sz="0" w:space="0" w:color="auto" w:frame="1"/>
        </w:rPr>
        <w:t xml:space="preserve">e </w:t>
      </w:r>
      <w:r w:rsidRPr="002A2C7E">
        <w:rPr>
          <w:rFonts w:ascii="Century Schoolbook" w:eastAsia="Times New Roman" w:hAnsi="Century Schoolbook"/>
          <w:color w:val="000000"/>
          <w:bdr w:val="none" w:sz="0" w:space="0" w:color="auto" w:frame="1"/>
        </w:rPr>
        <w:lastRenderedPageBreak/>
        <w:t>court held that a trademark on a product configuration could not be given to a “significant inventive component of an invention” that had been claimed by a patent</w:t>
      </w:r>
      <w:r w:rsidRPr="002A2C7E">
        <w:rPr>
          <w:rFonts w:ascii="Century Schoolbook" w:eastAsia="Times New Roman" w:hAnsi="Century Schoolbook"/>
          <w:i/>
          <w:color w:val="000000"/>
          <w:bdr w:val="none" w:sz="0" w:space="0" w:color="auto" w:frame="1"/>
        </w:rPr>
        <w:t xml:space="preserve">. Id. </w:t>
      </w:r>
      <w:r w:rsidRPr="002A2C7E">
        <w:rPr>
          <w:rFonts w:ascii="Century Schoolbook" w:eastAsia="Times New Roman" w:hAnsi="Century Schoolbook"/>
          <w:color w:val="000000"/>
          <w:bdr w:val="none" w:sz="0" w:space="0" w:color="auto" w:frame="1"/>
        </w:rPr>
        <w:t xml:space="preserve">at 1500. The Tenth Circuit’s reasoning was not based on the functionality doctrine. Instead, the court reasoned that “the inability freely to [sic] copy significant features of patented products after the patents expire impinges seriously upon the patent system's core goals,” and extending trademark protection to features claimed by a patent “undermines the principle that ideas in the public domain should stay there.” </w:t>
      </w:r>
      <w:r w:rsidRPr="002A2C7E">
        <w:rPr>
          <w:rFonts w:ascii="Century Schoolbook" w:eastAsia="Times New Roman" w:hAnsi="Century Schoolbook"/>
          <w:i/>
          <w:color w:val="000000"/>
          <w:bdr w:val="none" w:sz="0" w:space="0" w:color="auto" w:frame="1"/>
        </w:rPr>
        <w:t xml:space="preserve">Id. </w:t>
      </w:r>
      <w:r w:rsidRPr="002A2C7E">
        <w:rPr>
          <w:rFonts w:ascii="Century Schoolbook" w:eastAsia="Times New Roman" w:hAnsi="Century Schoolbook"/>
          <w:color w:val="000000"/>
          <w:bdr w:val="none" w:sz="0" w:space="0" w:color="auto" w:frame="1"/>
        </w:rPr>
        <w:t xml:space="preserve">at 1508. Appellants can claim the same reasoning applies in this case, perhaps even more so. In </w:t>
      </w:r>
      <w:r w:rsidRPr="002A2C7E">
        <w:rPr>
          <w:rFonts w:ascii="Century Schoolbook" w:eastAsia="Times New Roman" w:hAnsi="Century Schoolbook"/>
          <w:i/>
          <w:color w:val="000000"/>
          <w:bdr w:val="none" w:sz="0" w:space="0" w:color="auto" w:frame="1"/>
        </w:rPr>
        <w:t>Vornado</w:t>
      </w:r>
      <w:r w:rsidRPr="002A2C7E">
        <w:rPr>
          <w:rFonts w:ascii="Century Schoolbook" w:eastAsia="Times New Roman" w:hAnsi="Century Schoolbook"/>
          <w:bdr w:val="none" w:sz="0" w:space="0" w:color="auto" w:frame="1"/>
        </w:rPr>
        <w:t xml:space="preserve">, both parties agreed </w:t>
      </w:r>
      <w:r w:rsidR="00166AD2">
        <w:rPr>
          <w:rFonts w:ascii="Century Schoolbook" w:eastAsia="Times New Roman" w:hAnsi="Century Schoolbook"/>
          <w:bdr w:val="none" w:sz="0" w:space="0" w:color="auto" w:frame="1"/>
        </w:rPr>
        <w:t>that, due to differences in the defendant’s product, the patent had not actually been infringed</w:t>
      </w:r>
      <w:r w:rsidRPr="002A2C7E">
        <w:rPr>
          <w:rFonts w:ascii="Century Schoolbook" w:eastAsia="Times New Roman" w:hAnsi="Century Schoolbook"/>
          <w:bdr w:val="none" w:sz="0" w:space="0" w:color="auto" w:frame="1"/>
        </w:rPr>
        <w:t xml:space="preserve">. </w:t>
      </w:r>
      <w:r w:rsidRPr="002A2C7E">
        <w:rPr>
          <w:rFonts w:ascii="Century Schoolbook" w:eastAsia="Times New Roman" w:hAnsi="Century Schoolbook"/>
          <w:i/>
          <w:bdr w:val="none" w:sz="0" w:space="0" w:color="auto" w:frame="1"/>
        </w:rPr>
        <w:t xml:space="preserve">See </w:t>
      </w:r>
      <w:r w:rsidRPr="002A2C7E">
        <w:rPr>
          <w:rFonts w:ascii="Century Schoolbook" w:eastAsia="Times New Roman" w:hAnsi="Century Schoolbook"/>
          <w:i/>
          <w:color w:val="000000"/>
          <w:bdr w:val="none" w:sz="0" w:space="0" w:color="auto" w:frame="1"/>
        </w:rPr>
        <w:t>id.</w:t>
      </w:r>
      <w:r w:rsidRPr="002A2C7E">
        <w:rPr>
          <w:rFonts w:ascii="Century Schoolbook" w:eastAsia="Times New Roman" w:hAnsi="Century Schoolbook"/>
          <w:color w:val="000000"/>
          <w:bdr w:val="none" w:sz="0" w:space="0" w:color="auto" w:frame="1"/>
        </w:rPr>
        <w:t xml:space="preserve"> at 1501. In contrast, </w:t>
      </w:r>
      <w:r w:rsidRPr="002A2C7E">
        <w:rPr>
          <w:rFonts w:ascii="Century Schoolbook" w:eastAsia="Times New Roman" w:hAnsi="Century Schoolbook"/>
          <w:bdr w:val="none" w:sz="0" w:space="0" w:color="auto" w:frame="1"/>
        </w:rPr>
        <w:t>the trademark on Ricky the Raccoon gives protection that is largely coextensive with commercial reproductions of the character, especially if infringement was to be found in this case.</w:t>
      </w:r>
    </w:p>
    <w:p w14:paraId="20330F09" w14:textId="77777777" w:rsidR="00E10AB7" w:rsidRPr="002A2C7E" w:rsidRDefault="00E10AB7" w:rsidP="007B1E98">
      <w:pPr>
        <w:spacing w:after="0" w:line="240" w:lineRule="auto"/>
        <w:ind w:firstLine="720"/>
        <w:jc w:val="both"/>
        <w:rPr>
          <w:rFonts w:ascii="Century Schoolbook" w:eastAsia="Times New Roman" w:hAnsi="Century Schoolbook"/>
          <w:bdr w:val="none" w:sz="0" w:space="0" w:color="auto" w:frame="1"/>
        </w:rPr>
      </w:pPr>
    </w:p>
    <w:p w14:paraId="61D48464" w14:textId="204D6F69" w:rsidR="00E10AB7" w:rsidRPr="002A2C7E" w:rsidRDefault="00E10AB7" w:rsidP="007B1E98">
      <w:pPr>
        <w:spacing w:after="0" w:line="240" w:lineRule="auto"/>
        <w:ind w:firstLine="720"/>
        <w:jc w:val="both"/>
        <w:rPr>
          <w:rFonts w:ascii="Century Schoolbook" w:eastAsia="Times New Roman" w:hAnsi="Century Schoolbook"/>
          <w:bdr w:val="none" w:sz="0" w:space="0" w:color="auto" w:frame="1"/>
        </w:rPr>
      </w:pPr>
      <w:r w:rsidRPr="002A2C7E">
        <w:rPr>
          <w:rFonts w:ascii="Century Schoolbook" w:eastAsia="Times New Roman" w:hAnsi="Century Schoolbook"/>
          <w:bdr w:val="none" w:sz="0" w:space="0" w:color="auto" w:frame="1"/>
        </w:rPr>
        <w:t>Appellant might also cite to</w:t>
      </w:r>
      <w:r w:rsidRPr="002A2C7E">
        <w:rPr>
          <w:rFonts w:ascii="Century Schoolbook" w:eastAsia="Times New Roman" w:hAnsi="Century Schoolbook"/>
          <w:i/>
          <w:bdr w:val="none" w:sz="0" w:space="0" w:color="auto" w:frame="1"/>
        </w:rPr>
        <w:t xml:space="preserve"> Kellogg Co. v. </w:t>
      </w:r>
      <w:proofErr w:type="spellStart"/>
      <w:r w:rsidRPr="002A2C7E">
        <w:rPr>
          <w:rFonts w:ascii="Century Schoolbook" w:eastAsia="Times New Roman" w:hAnsi="Century Schoolbook"/>
          <w:i/>
          <w:bdr w:val="none" w:sz="0" w:space="0" w:color="auto" w:frame="1"/>
        </w:rPr>
        <w:t>Nat</w:t>
      </w:r>
      <w:r w:rsidR="006D63F6">
        <w:rPr>
          <w:rFonts w:ascii="Century Schoolbook" w:eastAsia="Times New Roman" w:hAnsi="Century Schoolbook"/>
          <w:i/>
          <w:bdr w:val="none" w:sz="0" w:space="0" w:color="auto" w:frame="1"/>
        </w:rPr>
        <w:t>’</w:t>
      </w:r>
      <w:r w:rsidRPr="002A2C7E">
        <w:rPr>
          <w:rFonts w:ascii="Century Schoolbook" w:eastAsia="Times New Roman" w:hAnsi="Century Schoolbook"/>
          <w:i/>
          <w:bdr w:val="none" w:sz="0" w:space="0" w:color="auto" w:frame="1"/>
        </w:rPr>
        <w:t>l</w:t>
      </w:r>
      <w:proofErr w:type="spellEnd"/>
      <w:r w:rsidRPr="002A2C7E">
        <w:rPr>
          <w:rFonts w:ascii="Century Schoolbook" w:eastAsia="Times New Roman" w:hAnsi="Century Schoolbook"/>
          <w:i/>
          <w:bdr w:val="none" w:sz="0" w:space="0" w:color="auto" w:frame="1"/>
        </w:rPr>
        <w:t xml:space="preserve"> Biscuit Co.</w:t>
      </w:r>
      <w:r w:rsidRPr="002A2C7E">
        <w:rPr>
          <w:rFonts w:ascii="Century Schoolbook" w:eastAsia="Times New Roman" w:hAnsi="Century Schoolbook"/>
          <w:bdr w:val="none" w:sz="0" w:space="0" w:color="auto" w:frame="1"/>
        </w:rPr>
        <w:t xml:space="preserve">, 305 U.S. 111 (1938). In that case, the Supreme Court held that the name “Shredded Wheat” and the pillow shape of the cereal were not eligible for trademark protection by the previous owners on the patent covering the creation of said cereal. </w:t>
      </w:r>
      <w:r w:rsidRPr="002A2C7E">
        <w:rPr>
          <w:rFonts w:ascii="Century Schoolbook" w:eastAsia="Times New Roman" w:hAnsi="Century Schoolbook"/>
          <w:i/>
          <w:bdr w:val="none" w:sz="0" w:space="0" w:color="auto" w:frame="1"/>
        </w:rPr>
        <w:t xml:space="preserve">Id. </w:t>
      </w:r>
      <w:r w:rsidRPr="002A2C7E">
        <w:rPr>
          <w:rFonts w:ascii="Century Schoolbook" w:eastAsia="Times New Roman" w:hAnsi="Century Schoolbook"/>
          <w:bdr w:val="none" w:sz="0" w:space="0" w:color="auto" w:frame="1"/>
        </w:rPr>
        <w:t>at 118–20. While losing the trademark for the name might be explained by the Court applying the “</w:t>
      </w:r>
      <w:proofErr w:type="spellStart"/>
      <w:r w:rsidRPr="002A2C7E">
        <w:rPr>
          <w:rFonts w:ascii="Century Schoolbook" w:eastAsia="Times New Roman" w:hAnsi="Century Schoolbook"/>
          <w:bdr w:val="none" w:sz="0" w:space="0" w:color="auto" w:frame="1"/>
        </w:rPr>
        <w:t>genericide</w:t>
      </w:r>
      <w:proofErr w:type="spellEnd"/>
      <w:r w:rsidRPr="002A2C7E">
        <w:rPr>
          <w:rFonts w:ascii="Century Schoolbook" w:eastAsia="Times New Roman" w:hAnsi="Century Schoolbook"/>
          <w:bdr w:val="none" w:sz="0" w:space="0" w:color="auto" w:frame="1"/>
        </w:rPr>
        <w:t>” doctrine,</w:t>
      </w:r>
      <w:r w:rsidRPr="002A2C7E">
        <w:rPr>
          <w:rStyle w:val="FootnoteReference"/>
          <w:rFonts w:ascii="Century Schoolbook" w:eastAsia="Times New Roman" w:hAnsi="Century Schoolbook"/>
          <w:bdr w:val="none" w:sz="0" w:space="0" w:color="auto" w:frame="1"/>
        </w:rPr>
        <w:footnoteReference w:id="3"/>
      </w:r>
      <w:r w:rsidRPr="002A2C7E">
        <w:rPr>
          <w:rFonts w:ascii="Century Schoolbook" w:eastAsia="Times New Roman" w:hAnsi="Century Schoolbook"/>
          <w:bdr w:val="none" w:sz="0" w:space="0" w:color="auto" w:frame="1"/>
        </w:rPr>
        <w:t xml:space="preserve"> the loss of protection for the actual shape itself is more interesting. </w:t>
      </w:r>
      <w:r w:rsidRPr="002A2C7E">
        <w:rPr>
          <w:rFonts w:ascii="Century Schoolbook" w:eastAsia="Times New Roman" w:hAnsi="Century Schoolbook"/>
          <w:i/>
          <w:bdr w:val="none" w:sz="0" w:space="0" w:color="auto" w:frame="1"/>
        </w:rPr>
        <w:t>Id.</w:t>
      </w:r>
      <w:r w:rsidRPr="002A2C7E">
        <w:rPr>
          <w:rFonts w:ascii="Century Schoolbook" w:eastAsia="Times New Roman" w:hAnsi="Century Schoolbook"/>
          <w:bdr w:val="none" w:sz="0" w:space="0" w:color="auto" w:frame="1"/>
        </w:rPr>
        <w:t xml:space="preserve"> at 118 (</w:t>
      </w:r>
      <w:r w:rsidR="00C33356">
        <w:rPr>
          <w:rFonts w:ascii="Century Schoolbook" w:eastAsia="Times New Roman" w:hAnsi="Century Schoolbook"/>
          <w:bdr w:val="none" w:sz="0" w:space="0" w:color="auto" w:frame="1"/>
        </w:rPr>
        <w:t>stating that</w:t>
      </w:r>
      <w:r w:rsidRPr="002A2C7E">
        <w:rPr>
          <w:rFonts w:ascii="Century Schoolbook" w:eastAsia="Times New Roman" w:hAnsi="Century Schoolbook"/>
          <w:bdr w:val="none" w:sz="0" w:space="0" w:color="auto" w:frame="1"/>
        </w:rPr>
        <w:t xml:space="preserve"> the name </w:t>
      </w:r>
      <w:r w:rsidR="00C33356">
        <w:rPr>
          <w:rFonts w:ascii="Century Schoolbook" w:eastAsia="Times New Roman" w:hAnsi="Century Schoolbook"/>
          <w:bdr w:val="none" w:sz="0" w:space="0" w:color="auto" w:frame="1"/>
        </w:rPr>
        <w:t>was the</w:t>
      </w:r>
      <w:r w:rsidRPr="002A2C7E">
        <w:rPr>
          <w:rFonts w:ascii="Century Schoolbook" w:eastAsia="Times New Roman" w:hAnsi="Century Schoolbook"/>
          <w:bdr w:val="none" w:sz="0" w:space="0" w:color="auto" w:frame="1"/>
        </w:rPr>
        <w:t xml:space="preserve"> “generic designation” of the product). Since the form of the cereal had been protected by a design patent and use of the patented machine would necessarily produce the pillow shape, “upon expiration of the patents the form, as well as the name, was dedicated to the public.” </w:t>
      </w:r>
      <w:r w:rsidRPr="002A2C7E">
        <w:rPr>
          <w:rFonts w:ascii="Century Schoolbook" w:eastAsia="Times New Roman" w:hAnsi="Century Schoolbook"/>
          <w:i/>
          <w:bdr w:val="none" w:sz="0" w:space="0" w:color="auto" w:frame="1"/>
        </w:rPr>
        <w:t xml:space="preserve">Id. </w:t>
      </w:r>
      <w:r w:rsidRPr="002A2C7E">
        <w:rPr>
          <w:rFonts w:ascii="Century Schoolbook" w:eastAsia="Times New Roman" w:hAnsi="Century Schoolbook"/>
          <w:bdr w:val="none" w:sz="0" w:space="0" w:color="auto" w:frame="1"/>
        </w:rPr>
        <w:t xml:space="preserve">at 119–20. </w:t>
      </w:r>
    </w:p>
    <w:p w14:paraId="30E7CC0B" w14:textId="77777777" w:rsidR="00E10AB7" w:rsidRPr="002A2C7E" w:rsidRDefault="00E10AB7" w:rsidP="007B1E98">
      <w:pPr>
        <w:spacing w:after="0" w:line="240" w:lineRule="auto"/>
        <w:ind w:firstLine="720"/>
        <w:jc w:val="both"/>
        <w:rPr>
          <w:rFonts w:ascii="Century Schoolbook" w:eastAsia="Times New Roman" w:hAnsi="Century Schoolbook"/>
          <w:bdr w:val="none" w:sz="0" w:space="0" w:color="auto" w:frame="1"/>
        </w:rPr>
      </w:pPr>
    </w:p>
    <w:p w14:paraId="478B820F" w14:textId="08B15D1F" w:rsidR="00E10AB7" w:rsidRPr="002A2C7E" w:rsidRDefault="00E10AB7" w:rsidP="007B1E98">
      <w:pPr>
        <w:spacing w:after="0" w:line="240" w:lineRule="auto"/>
        <w:ind w:firstLine="720"/>
        <w:jc w:val="both"/>
        <w:rPr>
          <w:rFonts w:ascii="Century Schoolbook" w:eastAsia="Times New Roman" w:hAnsi="Century Schoolbook"/>
          <w:bdr w:val="none" w:sz="0" w:space="0" w:color="auto" w:frame="1"/>
        </w:rPr>
      </w:pPr>
      <w:r w:rsidRPr="002A2C7E">
        <w:rPr>
          <w:rFonts w:ascii="Century Schoolbook" w:eastAsia="Times New Roman" w:hAnsi="Century Schoolbook"/>
          <w:bdr w:val="none" w:sz="0" w:space="0" w:color="auto" w:frame="1"/>
        </w:rPr>
        <w:t xml:space="preserve">When arguing over which case law is more persuasive, Appellee will likely point to the </w:t>
      </w:r>
      <w:r w:rsidR="002A36AE">
        <w:rPr>
          <w:rFonts w:ascii="Century Schoolbook" w:eastAsia="Times New Roman" w:hAnsi="Century Schoolbook"/>
          <w:bdr w:val="none" w:sz="0" w:space="0" w:color="auto" w:frame="1"/>
        </w:rPr>
        <w:t>greater number</w:t>
      </w:r>
      <w:r w:rsidRPr="002A2C7E">
        <w:rPr>
          <w:rFonts w:ascii="Century Schoolbook" w:eastAsia="Times New Roman" w:hAnsi="Century Schoolbook"/>
          <w:bdr w:val="none" w:sz="0" w:space="0" w:color="auto" w:frame="1"/>
        </w:rPr>
        <w:t xml:space="preserve"> of cases on their side. Appellant will claim that </w:t>
      </w:r>
      <w:proofErr w:type="spellStart"/>
      <w:r w:rsidRPr="002A2C7E">
        <w:rPr>
          <w:rFonts w:ascii="Century Schoolbook" w:eastAsia="Times New Roman" w:hAnsi="Century Schoolbook"/>
          <w:i/>
          <w:bdr w:val="none" w:sz="0" w:space="0" w:color="auto" w:frame="1"/>
        </w:rPr>
        <w:t>Dastar</w:t>
      </w:r>
      <w:proofErr w:type="spellEnd"/>
      <w:r w:rsidR="004F2AB9">
        <w:rPr>
          <w:rFonts w:ascii="Century Schoolbook" w:eastAsia="Times New Roman" w:hAnsi="Century Schoolbook"/>
          <w:i/>
          <w:bdr w:val="none" w:sz="0" w:space="0" w:color="auto" w:frame="1"/>
        </w:rPr>
        <w:t xml:space="preserve"> </w:t>
      </w:r>
      <w:r w:rsidR="004F2AB9">
        <w:rPr>
          <w:rFonts w:ascii="Century Schoolbook" w:eastAsia="Times New Roman" w:hAnsi="Century Schoolbook"/>
          <w:bdr w:val="none" w:sz="0" w:space="0" w:color="auto" w:frame="1"/>
        </w:rPr>
        <w:t>—</w:t>
      </w:r>
      <w:r w:rsidRPr="002A2C7E">
        <w:rPr>
          <w:rFonts w:ascii="Century Schoolbook" w:eastAsia="Times New Roman" w:hAnsi="Century Schoolbook"/>
          <w:bdr w:val="none" w:sz="0" w:space="0" w:color="auto" w:frame="1"/>
        </w:rPr>
        <w:t>more recent than any of these cases</w:t>
      </w:r>
      <w:r w:rsidR="004F2AB9">
        <w:rPr>
          <w:rFonts w:ascii="Century Schoolbook" w:eastAsia="Times New Roman" w:hAnsi="Century Schoolbook"/>
          <w:bdr w:val="none" w:sz="0" w:space="0" w:color="auto" w:frame="1"/>
        </w:rPr>
        <w:t>—</w:t>
      </w:r>
      <w:r w:rsidRPr="002A2C7E">
        <w:rPr>
          <w:rFonts w:ascii="Century Schoolbook" w:eastAsia="Times New Roman" w:hAnsi="Century Schoolbook"/>
          <w:bdr w:val="none" w:sz="0" w:space="0" w:color="auto" w:frame="1"/>
        </w:rPr>
        <w:t xml:space="preserve">clearly favors the </w:t>
      </w:r>
      <w:r w:rsidRPr="002A2C7E">
        <w:rPr>
          <w:rFonts w:ascii="Century Schoolbook" w:eastAsia="Times New Roman" w:hAnsi="Century Schoolbook"/>
          <w:i/>
          <w:bdr w:val="none" w:sz="0" w:space="0" w:color="auto" w:frame="1"/>
        </w:rPr>
        <w:t>Vornado</w:t>
      </w:r>
      <w:r w:rsidRPr="002A2C7E">
        <w:rPr>
          <w:rFonts w:ascii="Century Schoolbook" w:eastAsia="Times New Roman" w:hAnsi="Century Schoolbook"/>
          <w:bdr w:val="none" w:sz="0" w:space="0" w:color="auto" w:frame="1"/>
        </w:rPr>
        <w:t xml:space="preserve"> reasoning because it valued the right to copy public domain material over trademark protection. Appellant might also claim that the courts which found pre-existing patents to be no barrier to trademark protection understood functionality as an adequate guardian of the public domain. </w:t>
      </w:r>
      <w:r w:rsidRPr="002A2C7E">
        <w:rPr>
          <w:rFonts w:ascii="Century Schoolbook" w:eastAsia="Times New Roman" w:hAnsi="Century Schoolbook"/>
          <w:i/>
          <w:bdr w:val="none" w:sz="0" w:space="0" w:color="auto" w:frame="1"/>
        </w:rPr>
        <w:t>See, e.g.</w:t>
      </w:r>
      <w:r w:rsidRPr="002A2C7E">
        <w:rPr>
          <w:rFonts w:ascii="Century Schoolbook" w:eastAsia="Times New Roman" w:hAnsi="Century Schoolbook"/>
          <w:bdr w:val="none" w:sz="0" w:space="0" w:color="auto" w:frame="1"/>
        </w:rPr>
        <w:t xml:space="preserve">, </w:t>
      </w:r>
      <w:r w:rsidRPr="002A2C7E">
        <w:rPr>
          <w:rFonts w:ascii="Century Schoolbook" w:eastAsia="Times New Roman" w:hAnsi="Century Schoolbook"/>
          <w:i/>
          <w:bdr w:val="none" w:sz="0" w:space="0" w:color="auto" w:frame="1"/>
        </w:rPr>
        <w:t>Elmer v. ICC Fabricating, Inc.</w:t>
      </w:r>
      <w:r w:rsidRPr="002A2C7E">
        <w:rPr>
          <w:rFonts w:ascii="Century Schoolbook" w:eastAsia="Times New Roman" w:hAnsi="Century Schoolbook"/>
          <w:bdr w:val="none" w:sz="0" w:space="0" w:color="auto" w:frame="1"/>
        </w:rPr>
        <w:t xml:space="preserve">, 67 F.3d 1571, 1580 (Fed. Cir. 1995) (explaining that functionality prevents trademarks from being “coextensive with, and in fact broader than” patent claims, and thus protects the right to copy and use expired patents). Appellant would then say that because the functionality safeguard does not protect the copyright public domain to the same extent, the above cases should not be seen as favoring Appellee. </w:t>
      </w:r>
    </w:p>
    <w:p w14:paraId="4E095EE7" w14:textId="77777777" w:rsidR="00E10AB7" w:rsidRPr="002A2C7E" w:rsidRDefault="00E10AB7" w:rsidP="007B1E98">
      <w:pPr>
        <w:spacing w:after="0" w:line="240" w:lineRule="auto"/>
        <w:ind w:firstLine="720"/>
        <w:jc w:val="both"/>
        <w:rPr>
          <w:rFonts w:ascii="Century Schoolbook" w:eastAsia="Times New Roman" w:hAnsi="Century Schoolbook"/>
          <w:bdr w:val="none" w:sz="0" w:space="0" w:color="auto" w:frame="1"/>
        </w:rPr>
      </w:pPr>
    </w:p>
    <w:p w14:paraId="588A9B82" w14:textId="45214388"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It is important to note that the Supreme Court resolved the circuit split described above by clarifying the functionality doctrine </w:t>
      </w:r>
      <w:r w:rsidR="00812416" w:rsidRPr="002A2C7E">
        <w:rPr>
          <w:rFonts w:ascii="Century Schoolbook" w:hAnsi="Century Schoolbook"/>
        </w:rPr>
        <w:t>to</w:t>
      </w:r>
      <w:r w:rsidRPr="002A2C7E">
        <w:rPr>
          <w:rFonts w:ascii="Century Schoolbook" w:hAnsi="Century Schoolbook"/>
        </w:rPr>
        <w:t xml:space="preserve"> greatly reduce the overlap </w:t>
      </w:r>
      <w:r w:rsidRPr="002A2C7E">
        <w:rPr>
          <w:rFonts w:ascii="Century Schoolbook" w:hAnsi="Century Schoolbook"/>
        </w:rPr>
        <w:lastRenderedPageBreak/>
        <w:t xml:space="preserve">between patent and trademarks. </w:t>
      </w:r>
      <w:r w:rsidRPr="002A2C7E">
        <w:rPr>
          <w:rFonts w:ascii="Century Schoolbook" w:hAnsi="Century Schoolbook"/>
          <w:i/>
        </w:rPr>
        <w:t xml:space="preserve">See </w:t>
      </w:r>
      <w:proofErr w:type="spellStart"/>
      <w:r w:rsidRPr="002A2C7E">
        <w:rPr>
          <w:rFonts w:ascii="Century Schoolbook" w:hAnsi="Century Schoolbook"/>
          <w:i/>
        </w:rPr>
        <w:t>TrafFix</w:t>
      </w:r>
      <w:proofErr w:type="spellEnd"/>
      <w:r w:rsidRPr="002A2C7E">
        <w:rPr>
          <w:rFonts w:ascii="Century Schoolbook" w:hAnsi="Century Schoolbook"/>
          <w:i/>
        </w:rPr>
        <w:t xml:space="preserve"> Devices, Inc. v. Mktg. Displays, Inc.</w:t>
      </w:r>
      <w:r w:rsidRPr="002A2C7E">
        <w:rPr>
          <w:rFonts w:ascii="Century Schoolbook" w:hAnsi="Century Schoolbook"/>
        </w:rPr>
        <w:t>, 532 U.S. 23, 28</w:t>
      </w:r>
      <w:r w:rsidR="00F334C9" w:rsidRPr="002A2C7E">
        <w:rPr>
          <w:rFonts w:ascii="Century Schoolbook" w:hAnsi="Century Schoolbook"/>
        </w:rPr>
        <w:t>–</w:t>
      </w:r>
      <w:r w:rsidR="00F334C9">
        <w:rPr>
          <w:rFonts w:ascii="Century Schoolbook" w:hAnsi="Century Schoolbook"/>
        </w:rPr>
        <w:t>29</w:t>
      </w:r>
      <w:r w:rsidRPr="002A2C7E">
        <w:rPr>
          <w:rFonts w:ascii="Century Schoolbook" w:hAnsi="Century Schoolbook"/>
        </w:rPr>
        <w:t xml:space="preserve"> (2001)</w:t>
      </w:r>
      <w:r w:rsidR="00F334C9">
        <w:rPr>
          <w:rFonts w:ascii="Century Schoolbook" w:hAnsi="Century Schoolbook"/>
        </w:rPr>
        <w:t xml:space="preserve"> (acknowledging the circuit split and explaining that “[a]</w:t>
      </w:r>
      <w:r w:rsidR="00F334C9" w:rsidRPr="00F334C9">
        <w:rPr>
          <w:rFonts w:ascii="Source Sans Pro" w:hAnsi="Source Sans Pro"/>
          <w:color w:val="3D3D3D"/>
          <w:sz w:val="26"/>
          <w:szCs w:val="26"/>
          <w:shd w:val="clear" w:color="auto" w:fill="FFFFFF"/>
        </w:rPr>
        <w:t xml:space="preserve"> </w:t>
      </w:r>
      <w:r w:rsidR="00F334C9" w:rsidRPr="00F334C9">
        <w:rPr>
          <w:rFonts w:ascii="Century Schoolbook" w:hAnsi="Century Schoolbook"/>
        </w:rPr>
        <w:t>utility patent is strong evidence that the features therein claimed are functional</w:t>
      </w:r>
      <w:r w:rsidRPr="002A2C7E">
        <w:rPr>
          <w:rFonts w:ascii="Century Schoolbook" w:hAnsi="Century Schoolbook"/>
        </w:rPr>
        <w:t>.</w:t>
      </w:r>
      <w:r w:rsidR="00F334C9">
        <w:rPr>
          <w:rFonts w:ascii="Century Schoolbook" w:hAnsi="Century Schoolbook"/>
        </w:rPr>
        <w:t>”)</w:t>
      </w:r>
      <w:r w:rsidRPr="002A2C7E">
        <w:rPr>
          <w:rFonts w:ascii="Century Schoolbook" w:hAnsi="Century Schoolbook"/>
        </w:rPr>
        <w:t xml:space="preserve"> </w:t>
      </w:r>
      <w:r w:rsidR="00BB4359">
        <w:rPr>
          <w:rFonts w:ascii="Century Schoolbook" w:hAnsi="Century Schoolbook"/>
        </w:rPr>
        <w:t xml:space="preserve"> </w:t>
      </w:r>
      <w:r w:rsidR="002A36AE">
        <w:rPr>
          <w:rFonts w:ascii="Century Schoolbook" w:hAnsi="Century Schoolbook"/>
        </w:rPr>
        <w:t>T</w:t>
      </w:r>
      <w:r w:rsidRPr="002A2C7E">
        <w:rPr>
          <w:rFonts w:ascii="Century Schoolbook" w:hAnsi="Century Schoolbook"/>
        </w:rPr>
        <w:t>he Court</w:t>
      </w:r>
      <w:r w:rsidR="002A36AE">
        <w:rPr>
          <w:rFonts w:ascii="Century Schoolbook" w:hAnsi="Century Schoolbook"/>
        </w:rPr>
        <w:t>, however,</w:t>
      </w:r>
      <w:r w:rsidRPr="002A2C7E">
        <w:rPr>
          <w:rFonts w:ascii="Century Schoolbook" w:hAnsi="Century Schoolbook"/>
        </w:rPr>
        <w:t xml:space="preserve"> expressly avoided the issue of the public domain principles of patent—and, by extension, copyright—conflicting with trademark. </w:t>
      </w:r>
      <w:r w:rsidRPr="002A2C7E">
        <w:rPr>
          <w:rFonts w:ascii="Century Schoolbook" w:hAnsi="Century Schoolbook"/>
          <w:i/>
        </w:rPr>
        <w:t xml:space="preserve">Id. </w:t>
      </w:r>
      <w:r w:rsidRPr="002A2C7E">
        <w:rPr>
          <w:rFonts w:ascii="Century Schoolbook" w:hAnsi="Century Schoolbook"/>
        </w:rPr>
        <w:t>at 35 (stating that while some people claim the Constitution prohibits trademark protection for what amounts to the practical equivalent of an expired patent, they “need not resolve this question”). As a result, none of the above cases, except for their discussions on functionality, have been overruled.</w:t>
      </w:r>
    </w:p>
    <w:p w14:paraId="587CB107" w14:textId="77777777" w:rsidR="00E10AB7" w:rsidRPr="002A2C7E" w:rsidRDefault="00E10AB7" w:rsidP="007B1E98">
      <w:pPr>
        <w:spacing w:after="0" w:line="240" w:lineRule="auto"/>
        <w:ind w:firstLine="720"/>
        <w:jc w:val="both"/>
        <w:rPr>
          <w:rFonts w:ascii="Century Schoolbook" w:eastAsia="Times New Roman" w:hAnsi="Century Schoolbook"/>
          <w:bdr w:val="none" w:sz="0" w:space="0" w:color="auto" w:frame="1"/>
        </w:rPr>
      </w:pPr>
    </w:p>
    <w:p w14:paraId="42A03B79" w14:textId="77777777" w:rsidR="00E10AB7" w:rsidRPr="002A2C7E" w:rsidRDefault="00E10AB7" w:rsidP="007B1E98">
      <w:pPr>
        <w:keepNext/>
        <w:keepLines/>
        <w:spacing w:after="0" w:line="240" w:lineRule="auto"/>
        <w:jc w:val="both"/>
        <w:rPr>
          <w:rFonts w:ascii="Century Schoolbook" w:eastAsia="Times New Roman" w:hAnsi="Century Schoolbook"/>
          <w:b/>
          <w:bdr w:val="none" w:sz="0" w:space="0" w:color="auto" w:frame="1"/>
        </w:rPr>
      </w:pPr>
      <w:r w:rsidRPr="002A2C7E">
        <w:rPr>
          <w:rFonts w:ascii="Century Schoolbook" w:eastAsia="Times New Roman" w:hAnsi="Century Schoolbook"/>
          <w:b/>
          <w:bdr w:val="none" w:sz="0" w:space="0" w:color="auto" w:frame="1"/>
        </w:rPr>
        <w:t>II.</w:t>
      </w:r>
      <w:r w:rsidRPr="002A2C7E">
        <w:rPr>
          <w:rFonts w:ascii="Century Schoolbook" w:eastAsia="Times New Roman" w:hAnsi="Century Schoolbook"/>
          <w:b/>
          <w:bdr w:val="none" w:sz="0" w:space="0" w:color="auto" w:frame="1"/>
        </w:rPr>
        <w:tab/>
        <w:t>If the Trademark Is Enforceable, Is There Infringement in This Case?</w:t>
      </w:r>
    </w:p>
    <w:p w14:paraId="18167A4F" w14:textId="77777777" w:rsidR="00E10AB7" w:rsidRPr="002A2C7E" w:rsidRDefault="00E10AB7" w:rsidP="007B1E98">
      <w:pPr>
        <w:spacing w:after="0" w:line="240" w:lineRule="auto"/>
        <w:jc w:val="both"/>
        <w:rPr>
          <w:rFonts w:ascii="Century Schoolbook" w:eastAsia="Times New Roman" w:hAnsi="Century Schoolbook"/>
          <w:b/>
          <w:bdr w:val="none" w:sz="0" w:space="0" w:color="auto" w:frame="1"/>
        </w:rPr>
      </w:pPr>
    </w:p>
    <w:p w14:paraId="315EEB03" w14:textId="6D1D2AF0" w:rsidR="00E10AB7" w:rsidRPr="002A2C7E" w:rsidRDefault="00E10AB7" w:rsidP="007B1E98">
      <w:pPr>
        <w:spacing w:after="0" w:line="240" w:lineRule="auto"/>
        <w:jc w:val="both"/>
        <w:rPr>
          <w:rFonts w:ascii="Century Schoolbook" w:hAnsi="Century Schoolbook"/>
        </w:rPr>
      </w:pPr>
      <w:r w:rsidRPr="002A2C7E">
        <w:rPr>
          <w:rFonts w:ascii="Century Schoolbook" w:hAnsi="Century Schoolbook"/>
        </w:rPr>
        <w:tab/>
        <w:t xml:space="preserve">Even if the trademark for Ricky the Raccoon is enforceable generally, </w:t>
      </w:r>
      <w:proofErr w:type="spellStart"/>
      <w:r w:rsidRPr="002A2C7E">
        <w:rPr>
          <w:rFonts w:ascii="Century Schoolbook" w:hAnsi="Century Schoolbook"/>
          <w:i/>
        </w:rPr>
        <w:t>Dastar</w:t>
      </w:r>
      <w:proofErr w:type="spellEnd"/>
      <w:r w:rsidRPr="002A2C7E">
        <w:rPr>
          <w:rFonts w:ascii="Century Schoolbook" w:hAnsi="Century Schoolbook"/>
        </w:rPr>
        <w:t xml:space="preserve"> and the cases which followed it have suggested that there may be an exception to trademark liability when the trademark is being wielded like a copyright. The parties will disagree on the scope and possibly the existence of that exception</w:t>
      </w:r>
      <w:r w:rsidR="004F2AB9">
        <w:rPr>
          <w:rFonts w:ascii="Century Schoolbook" w:hAnsi="Century Schoolbook"/>
        </w:rPr>
        <w:t>.</w:t>
      </w:r>
    </w:p>
    <w:p w14:paraId="216AA26A" w14:textId="77777777" w:rsidR="00E10AB7" w:rsidRPr="002A2C7E" w:rsidRDefault="00E10AB7" w:rsidP="007B1E98">
      <w:pPr>
        <w:spacing w:after="0" w:line="240" w:lineRule="auto"/>
        <w:jc w:val="both"/>
        <w:rPr>
          <w:rFonts w:ascii="Century Schoolbook" w:hAnsi="Century Schoolbook"/>
        </w:rPr>
      </w:pPr>
    </w:p>
    <w:p w14:paraId="12E58B8F" w14:textId="2D1CF44F"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Appellant will say that even if the trademark in Ricky the Raccoon is enforceable generally, </w:t>
      </w:r>
      <w:proofErr w:type="spellStart"/>
      <w:r w:rsidRPr="002A2C7E">
        <w:rPr>
          <w:rFonts w:ascii="Century Schoolbook" w:hAnsi="Century Schoolbook"/>
          <w:i/>
        </w:rPr>
        <w:t>Dastar</w:t>
      </w:r>
      <w:proofErr w:type="spellEnd"/>
      <w:r w:rsidRPr="002A2C7E">
        <w:rPr>
          <w:rFonts w:ascii="Century Schoolbook" w:hAnsi="Century Schoolbook"/>
        </w:rPr>
        <w:t xml:space="preserve"> created a clear exception to trademark infringement when reproducing public domain material. </w:t>
      </w:r>
      <w:r w:rsidR="00C33356">
        <w:rPr>
          <w:rFonts w:ascii="Century Schoolbook" w:hAnsi="Century Schoolbook"/>
          <w:i/>
          <w:iCs/>
        </w:rPr>
        <w:t xml:space="preserve">See </w:t>
      </w:r>
      <w:proofErr w:type="spellStart"/>
      <w:r w:rsidR="00C33356" w:rsidRPr="002A2C7E">
        <w:rPr>
          <w:rFonts w:ascii="Century Schoolbook" w:hAnsi="Century Schoolbook"/>
          <w:i/>
        </w:rPr>
        <w:t>Dastar</w:t>
      </w:r>
      <w:proofErr w:type="spellEnd"/>
      <w:r w:rsidR="00C33356" w:rsidRPr="002A2C7E">
        <w:rPr>
          <w:rFonts w:ascii="Century Schoolbook" w:hAnsi="Century Schoolbook"/>
          <w:i/>
        </w:rPr>
        <w:t xml:space="preserve"> Corp. v. Twentieth Century Fox Film Corp.</w:t>
      </w:r>
      <w:r w:rsidR="00C33356" w:rsidRPr="002A2C7E">
        <w:rPr>
          <w:rFonts w:ascii="Century Schoolbook" w:hAnsi="Century Schoolbook"/>
          <w:iCs/>
        </w:rPr>
        <w:t>,</w:t>
      </w:r>
      <w:r w:rsidR="00C33356" w:rsidRPr="002A2C7E">
        <w:rPr>
          <w:rFonts w:ascii="Century Schoolbook" w:hAnsi="Century Schoolbook"/>
          <w:i/>
        </w:rPr>
        <w:t xml:space="preserve"> </w:t>
      </w:r>
      <w:r w:rsidR="00C33356" w:rsidRPr="002A2C7E">
        <w:rPr>
          <w:rFonts w:ascii="Century Schoolbook" w:hAnsi="Century Schoolbook"/>
        </w:rPr>
        <w:t>539 U.S. 23 (2003)</w:t>
      </w:r>
      <w:r w:rsidR="00C33356">
        <w:rPr>
          <w:rFonts w:ascii="Century Schoolbook" w:hAnsi="Century Schoolbook"/>
        </w:rPr>
        <w:t xml:space="preserve">. </w:t>
      </w:r>
      <w:r w:rsidRPr="002A2C7E">
        <w:rPr>
          <w:rFonts w:ascii="Century Schoolbook" w:hAnsi="Century Schoolbook"/>
        </w:rPr>
        <w:t xml:space="preserve">Appellant will point to the various circuit court cases which largely interpret </w:t>
      </w:r>
      <w:proofErr w:type="spellStart"/>
      <w:r w:rsidRPr="002A2C7E">
        <w:rPr>
          <w:rFonts w:ascii="Century Schoolbook" w:hAnsi="Century Schoolbook"/>
          <w:i/>
        </w:rPr>
        <w:t>Dastar</w:t>
      </w:r>
      <w:proofErr w:type="spellEnd"/>
      <w:r w:rsidRPr="002A2C7E">
        <w:rPr>
          <w:rFonts w:ascii="Century Schoolbook" w:hAnsi="Century Schoolbook"/>
        </w:rPr>
        <w:t xml:space="preserve"> in this manner. Appellant might also point to the fact that Appellee originally brought a copyright claim to show that this is </w:t>
      </w:r>
      <w:r w:rsidR="00297257" w:rsidRPr="002A2C7E">
        <w:rPr>
          <w:rFonts w:ascii="Century Schoolbook" w:hAnsi="Century Schoolbook"/>
        </w:rPr>
        <w:t>just</w:t>
      </w:r>
      <w:r w:rsidRPr="002A2C7E">
        <w:rPr>
          <w:rFonts w:ascii="Century Schoolbook" w:hAnsi="Century Schoolbook"/>
        </w:rPr>
        <w:t xml:space="preserve"> a copyright claim disguised as a trademark claim. </w:t>
      </w:r>
    </w:p>
    <w:p w14:paraId="0B27B8A1" w14:textId="77777777" w:rsidR="00E10AB7" w:rsidRPr="002A2C7E" w:rsidRDefault="00E10AB7" w:rsidP="007B1E98">
      <w:pPr>
        <w:spacing w:after="0" w:line="240" w:lineRule="auto"/>
        <w:ind w:firstLine="720"/>
        <w:jc w:val="both"/>
        <w:rPr>
          <w:rFonts w:ascii="Century Schoolbook" w:hAnsi="Century Schoolbook"/>
          <w:b/>
          <w:u w:val="single"/>
        </w:rPr>
      </w:pPr>
    </w:p>
    <w:p w14:paraId="0DE2BD80" w14:textId="241BA752" w:rsidR="00E10AB7" w:rsidRPr="002A2C7E" w:rsidRDefault="00E10AB7" w:rsidP="007B1E98">
      <w:pPr>
        <w:spacing w:after="0" w:line="240" w:lineRule="auto"/>
        <w:jc w:val="both"/>
        <w:rPr>
          <w:rFonts w:ascii="Century Schoolbook" w:hAnsi="Century Schoolbook"/>
        </w:rPr>
      </w:pPr>
      <w:r w:rsidRPr="002A2C7E">
        <w:rPr>
          <w:rFonts w:ascii="Century Schoolbook" w:hAnsi="Century Schoolbook"/>
        </w:rPr>
        <w:tab/>
        <w:t xml:space="preserve">Appellee will disagree on the interpretation of </w:t>
      </w:r>
      <w:proofErr w:type="spellStart"/>
      <w:r w:rsidRPr="002A2C7E">
        <w:rPr>
          <w:rFonts w:ascii="Century Schoolbook" w:hAnsi="Century Schoolbook"/>
          <w:i/>
        </w:rPr>
        <w:t>Dastar</w:t>
      </w:r>
      <w:proofErr w:type="spellEnd"/>
      <w:r w:rsidRPr="002A2C7E">
        <w:rPr>
          <w:rFonts w:ascii="Century Schoolbook" w:hAnsi="Century Schoolbook"/>
        </w:rPr>
        <w:t xml:space="preserve">. They might point out that the direct holding of </w:t>
      </w:r>
      <w:proofErr w:type="spellStart"/>
      <w:r w:rsidRPr="002A2C7E">
        <w:rPr>
          <w:rFonts w:ascii="Century Schoolbook" w:hAnsi="Century Schoolbook"/>
          <w:i/>
        </w:rPr>
        <w:t>Dastar</w:t>
      </w:r>
      <w:proofErr w:type="spellEnd"/>
      <w:r w:rsidRPr="002A2C7E">
        <w:rPr>
          <w:rFonts w:ascii="Century Schoolbook" w:hAnsi="Century Schoolbook"/>
        </w:rPr>
        <w:t xml:space="preserve"> does not apply in this case because Appellee claimed confusion over sponsorship, not origin. They might also claim that the public domain reproduction exception was, at best, dicta. Appellee could finally argue that even if the exception does exist, it only covers nearly exact reproductions, and that the alterations by Appellant, which change the narrative substance of the short, go too far.</w:t>
      </w:r>
    </w:p>
    <w:p w14:paraId="4E8C9624" w14:textId="77777777" w:rsidR="00E10AB7" w:rsidRPr="002A2C7E" w:rsidRDefault="00E10AB7" w:rsidP="007B1E98">
      <w:pPr>
        <w:spacing w:after="0" w:line="240" w:lineRule="auto"/>
        <w:jc w:val="both"/>
        <w:rPr>
          <w:rFonts w:ascii="Century Schoolbook" w:hAnsi="Century Schoolbook"/>
        </w:rPr>
      </w:pPr>
    </w:p>
    <w:p w14:paraId="0268B73A" w14:textId="77777777" w:rsidR="00E10AB7" w:rsidRPr="002A2C7E" w:rsidRDefault="00E10AB7" w:rsidP="007B1E98">
      <w:pPr>
        <w:keepNext/>
        <w:keepLines/>
        <w:spacing w:after="0" w:line="240" w:lineRule="auto"/>
        <w:ind w:firstLine="720"/>
        <w:jc w:val="both"/>
        <w:rPr>
          <w:rFonts w:ascii="Century Schoolbook" w:hAnsi="Century Schoolbook"/>
          <w:b/>
        </w:rPr>
      </w:pPr>
      <w:r w:rsidRPr="002A2C7E">
        <w:rPr>
          <w:rFonts w:ascii="Century Schoolbook" w:hAnsi="Century Schoolbook"/>
          <w:b/>
        </w:rPr>
        <w:t>A.</w:t>
      </w:r>
      <w:r w:rsidRPr="002A2C7E">
        <w:rPr>
          <w:rFonts w:ascii="Century Schoolbook" w:hAnsi="Century Schoolbook"/>
          <w:b/>
        </w:rPr>
        <w:tab/>
        <w:t xml:space="preserve">Appellee Might Claim </w:t>
      </w:r>
      <w:proofErr w:type="spellStart"/>
      <w:r w:rsidRPr="002A2C7E">
        <w:rPr>
          <w:rFonts w:ascii="Century Schoolbook" w:hAnsi="Century Schoolbook"/>
          <w:b/>
          <w:i/>
        </w:rPr>
        <w:t>Dastar</w:t>
      </w:r>
      <w:proofErr w:type="spellEnd"/>
      <w:r w:rsidRPr="002A2C7E">
        <w:rPr>
          <w:rFonts w:ascii="Century Schoolbook" w:hAnsi="Century Schoolbook"/>
          <w:b/>
        </w:rPr>
        <w:t xml:space="preserve"> Does Not Apply in This Context.</w:t>
      </w:r>
    </w:p>
    <w:p w14:paraId="0649DEE0" w14:textId="77777777" w:rsidR="00E10AB7" w:rsidRPr="002A2C7E" w:rsidRDefault="00E10AB7" w:rsidP="007B1E98">
      <w:pPr>
        <w:keepNext/>
        <w:keepLines/>
        <w:spacing w:after="0" w:line="240" w:lineRule="auto"/>
        <w:jc w:val="both"/>
        <w:rPr>
          <w:rFonts w:ascii="Century Schoolbook" w:hAnsi="Century Schoolbook"/>
          <w:b/>
        </w:rPr>
      </w:pPr>
    </w:p>
    <w:p w14:paraId="5AF7F0B2" w14:textId="47A94A77"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Appellee has several arguments they could make as to why </w:t>
      </w:r>
      <w:proofErr w:type="spellStart"/>
      <w:r w:rsidRPr="002A2C7E">
        <w:rPr>
          <w:rFonts w:ascii="Century Schoolbook" w:hAnsi="Century Schoolbook"/>
          <w:i/>
        </w:rPr>
        <w:t>Dastar</w:t>
      </w:r>
      <w:proofErr w:type="spellEnd"/>
      <w:r w:rsidRPr="002A2C7E">
        <w:rPr>
          <w:rFonts w:ascii="Century Schoolbook" w:hAnsi="Century Schoolbook"/>
        </w:rPr>
        <w:t xml:space="preserve"> is not binding on the </w:t>
      </w:r>
      <w:r w:rsidR="006A67A3">
        <w:rPr>
          <w:rFonts w:ascii="Century Schoolbook" w:hAnsi="Century Schoolbook"/>
        </w:rPr>
        <w:t>C</w:t>
      </w:r>
      <w:r w:rsidRPr="002A2C7E">
        <w:rPr>
          <w:rFonts w:ascii="Century Schoolbook" w:hAnsi="Century Schoolbook"/>
        </w:rPr>
        <w:t xml:space="preserve">ourt. First, they can claim that the direct holding of </w:t>
      </w:r>
      <w:proofErr w:type="spellStart"/>
      <w:r w:rsidRPr="002A2C7E">
        <w:rPr>
          <w:rFonts w:ascii="Century Schoolbook" w:hAnsi="Century Schoolbook"/>
          <w:i/>
        </w:rPr>
        <w:t>Dastar</w:t>
      </w:r>
      <w:proofErr w:type="spellEnd"/>
      <w:r w:rsidRPr="002A2C7E">
        <w:rPr>
          <w:rFonts w:ascii="Century Schoolbook" w:hAnsi="Century Schoolbook"/>
        </w:rPr>
        <w:t>—defining the definition of “origin” in §</w:t>
      </w:r>
      <w:r w:rsidR="002A36AE">
        <w:rPr>
          <w:rFonts w:ascii="Century Schoolbook" w:hAnsi="Century Schoolbook"/>
        </w:rPr>
        <w:t> </w:t>
      </w:r>
      <w:r w:rsidRPr="002A2C7E">
        <w:rPr>
          <w:rFonts w:ascii="Century Schoolbook" w:hAnsi="Century Schoolbook"/>
        </w:rPr>
        <w:t xml:space="preserve">43(a) of the Lanham Act—does not apply in this case. </w:t>
      </w:r>
      <w:proofErr w:type="spellStart"/>
      <w:r w:rsidRPr="002A2C7E">
        <w:rPr>
          <w:rFonts w:ascii="Century Schoolbook" w:hAnsi="Century Schoolbook"/>
          <w:i/>
        </w:rPr>
        <w:t>Dastar</w:t>
      </w:r>
      <w:proofErr w:type="spellEnd"/>
      <w:r w:rsidRPr="002A2C7E">
        <w:rPr>
          <w:rFonts w:ascii="Century Schoolbook" w:hAnsi="Century Schoolbook"/>
          <w:i/>
        </w:rPr>
        <w:t xml:space="preserve"> Corp.</w:t>
      </w:r>
      <w:r w:rsidRPr="002A2C7E">
        <w:rPr>
          <w:rFonts w:ascii="Century Schoolbook" w:hAnsi="Century Schoolbook"/>
        </w:rPr>
        <w:t xml:space="preserve">, 539 U.S. at 32 (interpreting “origin” in the Lanham Act). Appellee should explain how they are claiming that Appellant’s use of Racecar Richard in the advertisement would confuse as to </w:t>
      </w:r>
      <w:r w:rsidRPr="002A2C7E">
        <w:rPr>
          <w:rFonts w:ascii="Century Schoolbook" w:hAnsi="Century Schoolbook"/>
          <w:i/>
        </w:rPr>
        <w:t>sponsorship</w:t>
      </w:r>
      <w:r w:rsidRPr="002A2C7E">
        <w:rPr>
          <w:rFonts w:ascii="Century Schoolbook" w:hAnsi="Century Schoolbook"/>
        </w:rPr>
        <w:t xml:space="preserve">, </w:t>
      </w:r>
      <w:r w:rsidR="009739A9">
        <w:rPr>
          <w:rFonts w:ascii="Century Schoolbook" w:hAnsi="Century Schoolbook"/>
        </w:rPr>
        <w:t xml:space="preserve">and </w:t>
      </w:r>
      <w:r w:rsidRPr="002A2C7E">
        <w:rPr>
          <w:rFonts w:ascii="Century Schoolbook" w:hAnsi="Century Schoolbook"/>
        </w:rPr>
        <w:t xml:space="preserve">not origin. </w:t>
      </w:r>
      <w:r w:rsidRPr="002A2C7E">
        <w:rPr>
          <w:rFonts w:ascii="Century Schoolbook" w:hAnsi="Century Schoolbook"/>
          <w:i/>
        </w:rPr>
        <w:t>See</w:t>
      </w:r>
      <w:r w:rsidRPr="002A2C7E">
        <w:rPr>
          <w:rFonts w:ascii="Century Schoolbook" w:hAnsi="Century Schoolbook"/>
        </w:rPr>
        <w:t xml:space="preserve"> 15 U.S.C.</w:t>
      </w:r>
      <w:r w:rsidR="002A36AE">
        <w:rPr>
          <w:rFonts w:ascii="Century Schoolbook" w:hAnsi="Century Schoolbook"/>
        </w:rPr>
        <w:t> </w:t>
      </w:r>
      <w:r w:rsidRPr="002A2C7E">
        <w:rPr>
          <w:rFonts w:ascii="Century Schoolbook" w:hAnsi="Century Schoolbook"/>
        </w:rPr>
        <w:t>§ 1125(a) (extending liability to both confusion over “origin” and “sponsorship”). Appellee should use the record to show why there is plainly confusion as to sponsorship.</w:t>
      </w:r>
    </w:p>
    <w:p w14:paraId="74D9CBC5" w14:textId="77777777" w:rsidR="00E10AB7" w:rsidRPr="002A2C7E" w:rsidRDefault="00E10AB7" w:rsidP="007B1E98">
      <w:pPr>
        <w:spacing w:after="0" w:line="240" w:lineRule="auto"/>
        <w:ind w:firstLine="720"/>
        <w:jc w:val="both"/>
        <w:rPr>
          <w:rFonts w:ascii="Century Schoolbook" w:hAnsi="Century Schoolbook"/>
        </w:rPr>
      </w:pPr>
    </w:p>
    <w:p w14:paraId="626B43CB" w14:textId="35696BF8"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hAnsi="Century Schoolbook"/>
        </w:rPr>
        <w:t xml:space="preserve">Second, Appellee can point out that </w:t>
      </w:r>
      <w:proofErr w:type="spellStart"/>
      <w:r w:rsidRPr="002A2C7E">
        <w:rPr>
          <w:rFonts w:ascii="Century Schoolbook" w:hAnsi="Century Schoolbook"/>
          <w:i/>
        </w:rPr>
        <w:t>Dastar</w:t>
      </w:r>
      <w:proofErr w:type="spellEnd"/>
      <w:r w:rsidRPr="002A2C7E">
        <w:rPr>
          <w:rFonts w:ascii="Century Schoolbook" w:hAnsi="Century Schoolbook"/>
        </w:rPr>
        <w:t xml:space="preserve"> </w:t>
      </w:r>
      <w:r w:rsidR="009739A9">
        <w:rPr>
          <w:rFonts w:ascii="Century Schoolbook" w:hAnsi="Century Schoolbook"/>
        </w:rPr>
        <w:t>addressed</w:t>
      </w:r>
      <w:r w:rsidRPr="002A2C7E">
        <w:rPr>
          <w:rFonts w:ascii="Century Schoolbook" w:hAnsi="Century Schoolbook"/>
        </w:rPr>
        <w:t xml:space="preserve"> interpretation of the Lanham Act and</w:t>
      </w:r>
      <w:r w:rsidR="00C33356">
        <w:rPr>
          <w:rFonts w:ascii="Century Schoolbook" w:hAnsi="Century Schoolbook"/>
        </w:rPr>
        <w:t xml:space="preserve">, consequentially, </w:t>
      </w:r>
      <w:r w:rsidRPr="002A2C7E">
        <w:rPr>
          <w:rFonts w:ascii="Century Schoolbook" w:hAnsi="Century Schoolbook"/>
        </w:rPr>
        <w:t xml:space="preserve">its warnings against trademark becoming a mutant copyright act applied to the Lanham Act as a whole, not individual trademark and copyright pairs. In other words, the plaintiffs in </w:t>
      </w:r>
      <w:proofErr w:type="spellStart"/>
      <w:r w:rsidRPr="002A2C7E">
        <w:rPr>
          <w:rFonts w:ascii="Century Schoolbook" w:hAnsi="Century Schoolbook"/>
          <w:i/>
        </w:rPr>
        <w:t>Dastar</w:t>
      </w:r>
      <w:proofErr w:type="spellEnd"/>
      <w:r w:rsidRPr="002A2C7E">
        <w:rPr>
          <w:rFonts w:ascii="Century Schoolbook" w:hAnsi="Century Schoolbook"/>
        </w:rPr>
        <w:t xml:space="preserve"> would not have had a cause of action regardless of whether the copyright had expired. Because it remains essentially undisputed that visual characters can give rise to trademark, </w:t>
      </w:r>
      <w:r w:rsidRPr="002A2C7E">
        <w:rPr>
          <w:rFonts w:ascii="Century Schoolbook" w:eastAsia="Times New Roman" w:hAnsi="Century Schoolbook"/>
          <w:color w:val="000000"/>
          <w:bdr w:val="none" w:sz="0" w:space="0" w:color="auto" w:frame="1"/>
        </w:rPr>
        <w:t xml:space="preserve">Appellee can argue that so long as there would have been infringement before the copyright expired, there should be infringement now. </w:t>
      </w:r>
      <w:r w:rsidRPr="002A2C7E">
        <w:rPr>
          <w:rFonts w:ascii="Century Schoolbook" w:hAnsi="Century Schoolbook"/>
          <w:i/>
          <w:iCs/>
        </w:rPr>
        <w:t>See, e.g.</w:t>
      </w:r>
      <w:r w:rsidRPr="002A2C7E">
        <w:rPr>
          <w:rFonts w:ascii="Century Schoolbook" w:hAnsi="Century Schoolbook"/>
        </w:rPr>
        <w:t xml:space="preserve">, </w:t>
      </w:r>
      <w:r w:rsidRPr="002A2C7E">
        <w:rPr>
          <w:rFonts w:ascii="Century Schoolbook" w:eastAsia="Times New Roman" w:hAnsi="Century Schoolbook"/>
          <w:i/>
          <w:color w:val="000000"/>
          <w:bdr w:val="none" w:sz="0" w:space="0" w:color="auto" w:frame="1"/>
        </w:rPr>
        <w:t>Warner Bros. Entm</w:t>
      </w:r>
      <w:r w:rsidR="006D63F6">
        <w:rPr>
          <w:rFonts w:ascii="Century Schoolbook" w:eastAsia="Times New Roman" w:hAnsi="Century Schoolbook"/>
          <w:i/>
          <w:color w:val="000000"/>
          <w:bdr w:val="none" w:sz="0" w:space="0" w:color="auto" w:frame="1"/>
        </w:rPr>
        <w:t>’</w:t>
      </w:r>
      <w:r w:rsidRPr="002A2C7E">
        <w:rPr>
          <w:rFonts w:ascii="Century Schoolbook" w:eastAsia="Times New Roman" w:hAnsi="Century Schoolbook"/>
          <w:i/>
          <w:color w:val="000000"/>
          <w:bdr w:val="none" w:sz="0" w:space="0" w:color="auto" w:frame="1"/>
        </w:rPr>
        <w:t>t, Inc. v. X One X Prods.</w:t>
      </w:r>
      <w:r w:rsidRPr="002A2C7E">
        <w:rPr>
          <w:rFonts w:ascii="Century Schoolbook" w:eastAsia="Times New Roman" w:hAnsi="Century Schoolbook"/>
          <w:color w:val="000000"/>
          <w:bdr w:val="none" w:sz="0" w:space="0" w:color="auto" w:frame="1"/>
        </w:rPr>
        <w:t xml:space="preserve">, 840 F.3d 971, 982 (8th Cir. 2016) (finding valid trademarks in visual characters without question); </w:t>
      </w:r>
      <w:r w:rsidRPr="002A2C7E">
        <w:rPr>
          <w:rFonts w:ascii="Century Schoolbook" w:eastAsia="Times New Roman" w:hAnsi="Century Schoolbook"/>
          <w:i/>
          <w:color w:val="000000"/>
          <w:bdr w:val="none" w:sz="0" w:space="0" w:color="auto" w:frame="1"/>
        </w:rPr>
        <w:t>Fleischer Studios, Inc. v. A.V.E.L.A., Inc.</w:t>
      </w:r>
      <w:r w:rsidRPr="002A2C7E">
        <w:rPr>
          <w:rFonts w:ascii="Century Schoolbook" w:eastAsia="Times New Roman" w:hAnsi="Century Schoolbook"/>
          <w:color w:val="000000"/>
          <w:bdr w:val="none" w:sz="0" w:space="0" w:color="auto" w:frame="1"/>
        </w:rPr>
        <w:t>, 654 F.3d 958, 966 (9th Cir. 2011) (same).</w:t>
      </w:r>
    </w:p>
    <w:p w14:paraId="4814AD12" w14:textId="77777777"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p>
    <w:p w14:paraId="5C405BB6" w14:textId="1E0FA5E6" w:rsidR="00E10AB7" w:rsidRPr="002A2C7E" w:rsidRDefault="00E10AB7" w:rsidP="007B1E98">
      <w:pPr>
        <w:spacing w:after="0" w:line="240" w:lineRule="auto"/>
        <w:jc w:val="both"/>
        <w:rPr>
          <w:rFonts w:ascii="Century Schoolbook" w:eastAsia="Times New Roman" w:hAnsi="Century Schoolbook"/>
          <w:color w:val="000000"/>
          <w:bdr w:val="none" w:sz="0" w:space="0" w:color="auto" w:frame="1"/>
        </w:rPr>
      </w:pPr>
      <w:r w:rsidRPr="002A2C7E">
        <w:rPr>
          <w:rFonts w:ascii="Century Schoolbook" w:eastAsia="Times New Roman" w:hAnsi="Century Schoolbook"/>
          <w:color w:val="000000"/>
          <w:bdr w:val="none" w:sz="0" w:space="0" w:color="auto" w:frame="1"/>
        </w:rPr>
        <w:tab/>
        <w:t xml:space="preserve">Winning on this point will strengthen Appellee’s position, especially if Appellant relies heavily on </w:t>
      </w:r>
      <w:proofErr w:type="spellStart"/>
      <w:r w:rsidRPr="002A2C7E">
        <w:rPr>
          <w:rFonts w:ascii="Century Schoolbook" w:eastAsia="Times New Roman" w:hAnsi="Century Schoolbook"/>
          <w:i/>
          <w:iCs/>
          <w:color w:val="000000"/>
          <w:bdr w:val="none" w:sz="0" w:space="0" w:color="auto" w:frame="1"/>
        </w:rPr>
        <w:t>Dastar</w:t>
      </w:r>
      <w:proofErr w:type="spellEnd"/>
      <w:r w:rsidRPr="002A2C7E">
        <w:rPr>
          <w:rFonts w:ascii="Century Schoolbook" w:eastAsia="Times New Roman" w:hAnsi="Century Schoolbook"/>
          <w:color w:val="000000"/>
          <w:bdr w:val="none" w:sz="0" w:space="0" w:color="auto" w:frame="1"/>
        </w:rPr>
        <w:t>. Appellant</w:t>
      </w:r>
      <w:r w:rsidR="002A36AE">
        <w:rPr>
          <w:rFonts w:ascii="Century Schoolbook" w:eastAsia="Times New Roman" w:hAnsi="Century Schoolbook"/>
          <w:color w:val="000000"/>
          <w:bdr w:val="none" w:sz="0" w:space="0" w:color="auto" w:frame="1"/>
        </w:rPr>
        <w:t>, however,</w:t>
      </w:r>
      <w:r w:rsidRPr="002A2C7E">
        <w:rPr>
          <w:rFonts w:ascii="Century Schoolbook" w:eastAsia="Times New Roman" w:hAnsi="Century Schoolbook"/>
          <w:color w:val="000000"/>
          <w:bdr w:val="none" w:sz="0" w:space="0" w:color="auto" w:frame="1"/>
        </w:rPr>
        <w:t xml:space="preserve"> can still prevail by persuasively using </w:t>
      </w:r>
      <w:proofErr w:type="spellStart"/>
      <w:r w:rsidRPr="002A2C7E">
        <w:rPr>
          <w:rFonts w:ascii="Century Schoolbook" w:eastAsia="Times New Roman" w:hAnsi="Century Schoolbook"/>
          <w:i/>
          <w:iCs/>
          <w:color w:val="000000"/>
          <w:bdr w:val="none" w:sz="0" w:space="0" w:color="auto" w:frame="1"/>
        </w:rPr>
        <w:t>Dastar</w:t>
      </w:r>
      <w:r w:rsidRPr="002A2C7E">
        <w:rPr>
          <w:rFonts w:ascii="Century Schoolbook" w:eastAsia="Times New Roman" w:hAnsi="Century Schoolbook"/>
          <w:color w:val="000000"/>
          <w:bdr w:val="none" w:sz="0" w:space="0" w:color="auto" w:frame="1"/>
        </w:rPr>
        <w:t>’s</w:t>
      </w:r>
      <w:proofErr w:type="spellEnd"/>
      <w:r w:rsidRPr="002A2C7E">
        <w:rPr>
          <w:rFonts w:ascii="Century Schoolbook" w:eastAsia="Times New Roman" w:hAnsi="Century Schoolbook"/>
          <w:color w:val="000000"/>
          <w:bdr w:val="none" w:sz="0" w:space="0" w:color="auto" w:frame="1"/>
        </w:rPr>
        <w:t xml:space="preserve"> dicta or some of the cases which have subsequently applied </w:t>
      </w:r>
      <w:proofErr w:type="spellStart"/>
      <w:r w:rsidRPr="002A2C7E">
        <w:rPr>
          <w:rFonts w:ascii="Century Schoolbook" w:eastAsia="Times New Roman" w:hAnsi="Century Schoolbook"/>
          <w:i/>
          <w:iCs/>
          <w:color w:val="000000"/>
          <w:bdr w:val="none" w:sz="0" w:space="0" w:color="auto" w:frame="1"/>
        </w:rPr>
        <w:t>Dastar</w:t>
      </w:r>
      <w:proofErr w:type="spellEnd"/>
      <w:r w:rsidRPr="002A2C7E">
        <w:rPr>
          <w:rFonts w:ascii="Century Schoolbook" w:eastAsia="Times New Roman" w:hAnsi="Century Schoolbook"/>
          <w:color w:val="000000"/>
          <w:bdr w:val="none" w:sz="0" w:space="0" w:color="auto" w:frame="1"/>
        </w:rPr>
        <w:t>.</w:t>
      </w:r>
    </w:p>
    <w:p w14:paraId="2C0B3C98" w14:textId="77777777" w:rsidR="00E10AB7" w:rsidRPr="002A2C7E" w:rsidRDefault="00E10AB7" w:rsidP="007B1E98">
      <w:pPr>
        <w:spacing w:after="0" w:line="240" w:lineRule="auto"/>
        <w:jc w:val="both"/>
        <w:rPr>
          <w:rFonts w:ascii="Century Schoolbook" w:eastAsia="Times New Roman" w:hAnsi="Century Schoolbook"/>
          <w:color w:val="000000"/>
          <w:bdr w:val="none" w:sz="0" w:space="0" w:color="auto" w:frame="1"/>
        </w:rPr>
      </w:pPr>
    </w:p>
    <w:p w14:paraId="46206723" w14:textId="54F663EB" w:rsidR="00E10AB7" w:rsidRPr="002A2C7E" w:rsidRDefault="00E10AB7" w:rsidP="007B1E98">
      <w:pPr>
        <w:keepNext/>
        <w:keepLines/>
        <w:spacing w:after="0" w:line="240" w:lineRule="auto"/>
        <w:ind w:firstLine="720"/>
        <w:jc w:val="both"/>
        <w:rPr>
          <w:rFonts w:ascii="Century Schoolbook" w:hAnsi="Century Schoolbook"/>
          <w:b/>
        </w:rPr>
      </w:pPr>
      <w:r w:rsidRPr="002A2C7E">
        <w:rPr>
          <w:rFonts w:ascii="Century Schoolbook" w:hAnsi="Century Schoolbook"/>
          <w:b/>
        </w:rPr>
        <w:t>B.</w:t>
      </w:r>
      <w:r w:rsidRPr="002A2C7E">
        <w:rPr>
          <w:rFonts w:ascii="Century Schoolbook" w:hAnsi="Century Schoolbook"/>
          <w:b/>
        </w:rPr>
        <w:tab/>
        <w:t xml:space="preserve">Appellant Will Argue </w:t>
      </w:r>
      <w:r w:rsidR="007D0AB6">
        <w:rPr>
          <w:rFonts w:ascii="Century Schoolbook" w:hAnsi="Century Schoolbook"/>
          <w:b/>
        </w:rPr>
        <w:t>t</w:t>
      </w:r>
      <w:r w:rsidRPr="002A2C7E">
        <w:rPr>
          <w:rFonts w:ascii="Century Schoolbook" w:hAnsi="Century Schoolbook"/>
          <w:b/>
        </w:rPr>
        <w:t xml:space="preserve">hat </w:t>
      </w:r>
      <w:proofErr w:type="spellStart"/>
      <w:r w:rsidRPr="002A2C7E">
        <w:rPr>
          <w:rFonts w:ascii="Century Schoolbook" w:hAnsi="Century Schoolbook"/>
          <w:b/>
          <w:i/>
        </w:rPr>
        <w:t>Dastar</w:t>
      </w:r>
      <w:proofErr w:type="spellEnd"/>
      <w:r w:rsidRPr="002A2C7E">
        <w:rPr>
          <w:rFonts w:ascii="Century Schoolbook" w:hAnsi="Century Schoolbook"/>
          <w:b/>
        </w:rPr>
        <w:t xml:space="preserve"> Recognized Reproduction of </w:t>
      </w:r>
      <w:r w:rsidRPr="002A2C7E">
        <w:rPr>
          <w:rFonts w:ascii="Century Schoolbook" w:hAnsi="Century Schoolbook"/>
          <w:b/>
        </w:rPr>
        <w:tab/>
      </w:r>
      <w:r w:rsidRPr="002A2C7E">
        <w:rPr>
          <w:rFonts w:ascii="Century Schoolbook" w:hAnsi="Century Schoolbook"/>
          <w:b/>
        </w:rPr>
        <w:tab/>
      </w:r>
      <w:r w:rsidRPr="002A2C7E">
        <w:rPr>
          <w:rFonts w:ascii="Century Schoolbook" w:hAnsi="Century Schoolbook"/>
          <w:b/>
        </w:rPr>
        <w:tab/>
        <w:t xml:space="preserve">Public Domain Material as an Exception to Trademark </w:t>
      </w:r>
      <w:r w:rsidRPr="002A2C7E">
        <w:rPr>
          <w:rFonts w:ascii="Century Schoolbook" w:hAnsi="Century Schoolbook"/>
          <w:b/>
        </w:rPr>
        <w:tab/>
      </w:r>
      <w:r w:rsidRPr="002A2C7E">
        <w:rPr>
          <w:rFonts w:ascii="Century Schoolbook" w:hAnsi="Century Schoolbook"/>
          <w:b/>
        </w:rPr>
        <w:tab/>
      </w:r>
      <w:r w:rsidRPr="002A2C7E">
        <w:rPr>
          <w:rFonts w:ascii="Century Schoolbook" w:hAnsi="Century Schoolbook"/>
          <w:b/>
        </w:rPr>
        <w:tab/>
      </w:r>
      <w:r w:rsidRPr="002A2C7E">
        <w:rPr>
          <w:rFonts w:ascii="Century Schoolbook" w:hAnsi="Century Schoolbook"/>
          <w:b/>
        </w:rPr>
        <w:tab/>
        <w:t>Liability.</w:t>
      </w:r>
    </w:p>
    <w:p w14:paraId="64219456" w14:textId="77777777" w:rsidR="00E10AB7" w:rsidRPr="002A2C7E" w:rsidRDefault="00E10AB7" w:rsidP="007B1E98">
      <w:pPr>
        <w:keepNext/>
        <w:keepLines/>
        <w:spacing w:after="0" w:line="240" w:lineRule="auto"/>
        <w:ind w:firstLine="720"/>
        <w:jc w:val="both"/>
        <w:rPr>
          <w:rFonts w:ascii="Century Schoolbook" w:hAnsi="Century Schoolbook"/>
          <w:b/>
        </w:rPr>
      </w:pPr>
    </w:p>
    <w:p w14:paraId="77449349" w14:textId="38FE7A9E"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 xml:space="preserve">As discussed above, the direct holding of </w:t>
      </w:r>
      <w:proofErr w:type="spellStart"/>
      <w:r w:rsidRPr="002A2C7E">
        <w:rPr>
          <w:rFonts w:ascii="Century Schoolbook" w:hAnsi="Century Schoolbook"/>
          <w:i/>
        </w:rPr>
        <w:t>Dastar</w:t>
      </w:r>
      <w:proofErr w:type="spellEnd"/>
      <w:r w:rsidRPr="002A2C7E">
        <w:rPr>
          <w:rFonts w:ascii="Century Schoolbook" w:hAnsi="Century Schoolbook"/>
        </w:rPr>
        <w:t xml:space="preserve"> (interpreting “origin”) likely does not apply in the present case where the Appellee is alleging confusion over sponsorship. However, Appellant can utilize strong language from the case itself for their side. In </w:t>
      </w:r>
      <w:proofErr w:type="spellStart"/>
      <w:r w:rsidRPr="002A2C7E">
        <w:rPr>
          <w:rFonts w:ascii="Century Schoolbook" w:hAnsi="Century Schoolbook"/>
          <w:i/>
          <w:iCs/>
        </w:rPr>
        <w:t>Dastar</w:t>
      </w:r>
      <w:proofErr w:type="spellEnd"/>
      <w:r w:rsidRPr="002A2C7E">
        <w:rPr>
          <w:rFonts w:ascii="Century Schoolbook" w:hAnsi="Century Schoolbook"/>
        </w:rPr>
        <w:t xml:space="preserve">, the Court recognized that the expiration of a copyright gives an </w:t>
      </w:r>
      <w:r w:rsidRPr="002A2C7E">
        <w:rPr>
          <w:rFonts w:ascii="Century Schoolbook" w:hAnsi="Century Schoolbook"/>
          <w:i/>
        </w:rPr>
        <w:t>affirmative</w:t>
      </w:r>
      <w:r w:rsidRPr="002A2C7E">
        <w:rPr>
          <w:rFonts w:ascii="Century Schoolbook" w:hAnsi="Century Schoolbook"/>
        </w:rPr>
        <w:t xml:space="preserve"> right to copy and use, </w:t>
      </w:r>
      <w:r w:rsidR="00297257">
        <w:rPr>
          <w:rFonts w:ascii="Century Schoolbook" w:hAnsi="Century Schoolbook"/>
        </w:rPr>
        <w:t>which goes beyond</w:t>
      </w:r>
      <w:r w:rsidRPr="002A2C7E">
        <w:rPr>
          <w:rFonts w:ascii="Century Schoolbook" w:hAnsi="Century Schoolbook"/>
        </w:rPr>
        <w:t xml:space="preserve"> merely the loss of a right to exclude in the previous owner. </w:t>
      </w:r>
      <w:proofErr w:type="spellStart"/>
      <w:r w:rsidRPr="002A2C7E">
        <w:rPr>
          <w:rFonts w:ascii="Century Schoolbook" w:hAnsi="Century Schoolbook"/>
          <w:i/>
        </w:rPr>
        <w:t>Dastar</w:t>
      </w:r>
      <w:proofErr w:type="spellEnd"/>
      <w:r w:rsidRPr="002A2C7E">
        <w:rPr>
          <w:rFonts w:ascii="Century Schoolbook" w:hAnsi="Century Schoolbook"/>
          <w:i/>
        </w:rPr>
        <w:t xml:space="preserve"> Corp.</w:t>
      </w:r>
      <w:r w:rsidRPr="002A2C7E">
        <w:rPr>
          <w:rFonts w:ascii="Century Schoolbook" w:hAnsi="Century Schoolbook"/>
        </w:rPr>
        <w:t xml:space="preserve">, 539 U.S. at 33–34. The Court cautioned against trademark liability becoming “a species of mutant copyright law.” </w:t>
      </w:r>
      <w:r w:rsidRPr="002A2C7E">
        <w:rPr>
          <w:rFonts w:ascii="Century Schoolbook" w:hAnsi="Century Schoolbook"/>
          <w:i/>
        </w:rPr>
        <w:t>Id.</w:t>
      </w:r>
      <w:r w:rsidRPr="002A2C7E">
        <w:rPr>
          <w:rFonts w:ascii="Century Schoolbook" w:hAnsi="Century Schoolbook"/>
        </w:rPr>
        <w:t xml:space="preserve"> at 34. Appellant might take this to mean that reproducing public domain material is a categorical exception to trademark liability. However, if Appellant employs this argument, they will need to be ready to explain whether this reasoning applies to logos and mascots, which also receive copyright protection. For instance, would that mean the expiration of the </w:t>
      </w:r>
      <w:r w:rsidRPr="00C33356">
        <w:rPr>
          <w:rFonts w:ascii="Century Schoolbook" w:hAnsi="Century Schoolbook"/>
        </w:rPr>
        <w:t>Coca-Cola</w:t>
      </w:r>
      <w:r w:rsidRPr="002A2C7E">
        <w:rPr>
          <w:rFonts w:ascii="Century Schoolbook" w:hAnsi="Century Schoolbook"/>
          <w:i/>
          <w:iCs/>
        </w:rPr>
        <w:t xml:space="preserve"> </w:t>
      </w:r>
      <w:r w:rsidRPr="002A2C7E">
        <w:rPr>
          <w:rFonts w:ascii="Century Schoolbook" w:hAnsi="Century Schoolbook"/>
        </w:rPr>
        <w:t xml:space="preserve">logo copyright (assuming its stylized lettering made it eligible for copyright) allows anyone to use that logo on their beverages? </w:t>
      </w:r>
      <w:r w:rsidRPr="002A2C7E">
        <w:rPr>
          <w:rFonts w:ascii="Century Schoolbook" w:hAnsi="Century Schoolbook"/>
          <w:i/>
          <w:iCs/>
        </w:rPr>
        <w:t>See C</w:t>
      </w:r>
      <w:r w:rsidR="00297257">
        <w:rPr>
          <w:rFonts w:ascii="Century Schoolbook" w:hAnsi="Century Schoolbook"/>
          <w:i/>
          <w:iCs/>
        </w:rPr>
        <w:t>oca-</w:t>
      </w:r>
      <w:r w:rsidRPr="002A2C7E">
        <w:rPr>
          <w:rFonts w:ascii="Century Schoolbook" w:hAnsi="Century Schoolbook"/>
          <w:i/>
          <w:iCs/>
        </w:rPr>
        <w:t>Cola</w:t>
      </w:r>
      <w:r w:rsidR="00E04F9F">
        <w:rPr>
          <w:rFonts w:ascii="Century Schoolbook" w:hAnsi="Century Schoolbook"/>
          <w:i/>
          <w:iCs/>
        </w:rPr>
        <w:t xml:space="preserve"> </w:t>
      </w:r>
      <w:r w:rsidRPr="002A2C7E">
        <w:rPr>
          <w:rFonts w:ascii="Century Schoolbook" w:hAnsi="Century Schoolbook"/>
          <w:i/>
          <w:iCs/>
        </w:rPr>
        <w:t>Co.</w:t>
      </w:r>
      <w:r w:rsidR="00E04F9F">
        <w:rPr>
          <w:rFonts w:ascii="Century Schoolbook" w:hAnsi="Century Schoolbook"/>
          <w:i/>
          <w:iCs/>
        </w:rPr>
        <w:t xml:space="preserve"> </w:t>
      </w:r>
      <w:r w:rsidRPr="002A2C7E">
        <w:rPr>
          <w:rFonts w:ascii="Century Schoolbook" w:hAnsi="Century Schoolbook"/>
          <w:i/>
          <w:iCs/>
        </w:rPr>
        <w:t>v.</w:t>
      </w:r>
      <w:r w:rsidR="00E04F9F">
        <w:rPr>
          <w:rFonts w:ascii="Century Schoolbook" w:hAnsi="Century Schoolbook"/>
          <w:i/>
          <w:iCs/>
        </w:rPr>
        <w:t xml:space="preserve"> </w:t>
      </w:r>
      <w:r w:rsidRPr="002A2C7E">
        <w:rPr>
          <w:rFonts w:ascii="Century Schoolbook" w:hAnsi="Century Schoolbook"/>
          <w:i/>
          <w:iCs/>
        </w:rPr>
        <w:t>Rodriguez</w:t>
      </w:r>
      <w:r w:rsidR="00E04F9F">
        <w:rPr>
          <w:rFonts w:ascii="Century Schoolbook" w:hAnsi="Century Schoolbook"/>
          <w:i/>
          <w:iCs/>
        </w:rPr>
        <w:t xml:space="preserve"> </w:t>
      </w:r>
      <w:r w:rsidRPr="002A2C7E">
        <w:rPr>
          <w:rFonts w:ascii="Century Schoolbook" w:hAnsi="Century Schoolbook"/>
          <w:i/>
          <w:iCs/>
        </w:rPr>
        <w:t>Flavoring</w:t>
      </w:r>
      <w:r w:rsidR="00E04F9F">
        <w:rPr>
          <w:rFonts w:ascii="Century Schoolbook" w:hAnsi="Century Schoolbook"/>
          <w:i/>
          <w:iCs/>
        </w:rPr>
        <w:t xml:space="preserve"> </w:t>
      </w:r>
      <w:r w:rsidRPr="002A2C7E">
        <w:rPr>
          <w:rFonts w:ascii="Century Schoolbook" w:hAnsi="Century Schoolbook"/>
          <w:i/>
          <w:iCs/>
        </w:rPr>
        <w:t>Syrups,</w:t>
      </w:r>
      <w:r w:rsidR="00E04F9F">
        <w:rPr>
          <w:rFonts w:ascii="Century Schoolbook" w:hAnsi="Century Schoolbook"/>
          <w:i/>
          <w:iCs/>
        </w:rPr>
        <w:t xml:space="preserve"> </w:t>
      </w:r>
      <w:r w:rsidRPr="002A2C7E">
        <w:rPr>
          <w:rFonts w:ascii="Century Schoolbook" w:hAnsi="Century Schoolbook"/>
          <w:i/>
          <w:iCs/>
        </w:rPr>
        <w:t>Inc.</w:t>
      </w:r>
      <w:r w:rsidRPr="002A2C7E">
        <w:rPr>
          <w:rFonts w:ascii="Century Schoolbook" w:hAnsi="Century Schoolbook"/>
        </w:rPr>
        <w:t>,</w:t>
      </w:r>
      <w:r w:rsidR="00E04F9F">
        <w:rPr>
          <w:rFonts w:ascii="Century Schoolbook" w:hAnsi="Century Schoolbook"/>
        </w:rPr>
        <w:t xml:space="preserve"> </w:t>
      </w:r>
      <w:r w:rsidRPr="002A2C7E">
        <w:rPr>
          <w:rFonts w:ascii="Century Schoolbook" w:hAnsi="Century Schoolbook"/>
        </w:rPr>
        <w:t>89 U.S.P.Q. 36, 40</w:t>
      </w:r>
      <w:r w:rsidR="00297257">
        <w:rPr>
          <w:rFonts w:ascii="Century Schoolbook" w:hAnsi="Century Schoolbook"/>
        </w:rPr>
        <w:t xml:space="preserve"> (</w:t>
      </w:r>
      <w:r w:rsidRPr="002A2C7E">
        <w:rPr>
          <w:rFonts w:ascii="Century Schoolbook" w:hAnsi="Century Schoolbook"/>
        </w:rPr>
        <w:t>Chief Examiner 1951</w:t>
      </w:r>
      <w:r w:rsidRPr="00F45A7D">
        <w:rPr>
          <w:rFonts w:ascii="Century Schoolbook" w:hAnsi="Century Schoolbook"/>
        </w:rPr>
        <w:t>)</w:t>
      </w:r>
      <w:r w:rsidRPr="002A2C7E" w:rsidDel="00474F7F">
        <w:rPr>
          <w:rFonts w:ascii="Century Schoolbook" w:hAnsi="Century Schoolbook"/>
          <w:i/>
          <w:iCs/>
        </w:rPr>
        <w:t xml:space="preserve"> </w:t>
      </w:r>
      <w:r w:rsidRPr="002A2C7E">
        <w:rPr>
          <w:rFonts w:ascii="Century Schoolbook" w:hAnsi="Century Schoolbook"/>
        </w:rPr>
        <w:t xml:space="preserve">(rejecting the idea that the expiration copyright of an advertisement featuring the </w:t>
      </w:r>
      <w:r w:rsidRPr="002A2C7E">
        <w:rPr>
          <w:rFonts w:ascii="Century Schoolbook" w:hAnsi="Century Schoolbook"/>
          <w:i/>
          <w:iCs/>
        </w:rPr>
        <w:t>Coca-Cola</w:t>
      </w:r>
      <w:r w:rsidRPr="002A2C7E">
        <w:rPr>
          <w:rFonts w:ascii="Century Schoolbook" w:hAnsi="Century Schoolbook"/>
        </w:rPr>
        <w:t xml:space="preserve"> logo meant the trademark also expired).</w:t>
      </w:r>
    </w:p>
    <w:p w14:paraId="1CD354E1" w14:textId="77777777" w:rsidR="00E10AB7" w:rsidRPr="002A2C7E" w:rsidRDefault="00E10AB7" w:rsidP="007B1E98">
      <w:pPr>
        <w:spacing w:after="0" w:line="240" w:lineRule="auto"/>
        <w:ind w:firstLine="720"/>
        <w:jc w:val="both"/>
        <w:rPr>
          <w:rFonts w:ascii="Century Schoolbook" w:hAnsi="Century Schoolbook"/>
        </w:rPr>
      </w:pPr>
    </w:p>
    <w:p w14:paraId="726BEADE" w14:textId="04DC59F3"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hAnsi="Century Schoolbook"/>
        </w:rPr>
        <w:t xml:space="preserve">Appellant is more likely to argue that </w:t>
      </w:r>
      <w:proofErr w:type="spellStart"/>
      <w:r w:rsidRPr="002A2C7E">
        <w:rPr>
          <w:rFonts w:ascii="Century Schoolbook" w:hAnsi="Century Schoolbook"/>
          <w:i/>
        </w:rPr>
        <w:t>Dastar</w:t>
      </w:r>
      <w:proofErr w:type="spellEnd"/>
      <w:r w:rsidRPr="002A2C7E">
        <w:rPr>
          <w:rFonts w:ascii="Century Schoolbook" w:hAnsi="Century Schoolbook"/>
        </w:rPr>
        <w:t xml:space="preserve"> stands for the </w:t>
      </w:r>
      <w:r w:rsidR="009739A9">
        <w:rPr>
          <w:rFonts w:ascii="Century Schoolbook" w:hAnsi="Century Schoolbook"/>
        </w:rPr>
        <w:t xml:space="preserve">legal </w:t>
      </w:r>
      <w:r w:rsidRPr="002A2C7E">
        <w:rPr>
          <w:rFonts w:ascii="Century Schoolbook" w:hAnsi="Century Schoolbook"/>
        </w:rPr>
        <w:t>pro</w:t>
      </w:r>
      <w:r w:rsidR="009739A9">
        <w:rPr>
          <w:rFonts w:ascii="Century Schoolbook" w:hAnsi="Century Schoolbook"/>
        </w:rPr>
        <w:t>position</w:t>
      </w:r>
      <w:r w:rsidRPr="002A2C7E">
        <w:rPr>
          <w:rFonts w:ascii="Century Schoolbook" w:hAnsi="Century Schoolbook"/>
        </w:rPr>
        <w:t xml:space="preserve"> that trademarks cannot be used to enforce what is essentially a copyright claim and apply that to the issue at hand. Several circuits have interpreted </w:t>
      </w:r>
      <w:proofErr w:type="spellStart"/>
      <w:r w:rsidRPr="002A2C7E">
        <w:rPr>
          <w:rFonts w:ascii="Century Schoolbook" w:hAnsi="Century Schoolbook"/>
          <w:i/>
        </w:rPr>
        <w:t>Dastar</w:t>
      </w:r>
      <w:proofErr w:type="spellEnd"/>
      <w:r w:rsidRPr="002A2C7E">
        <w:rPr>
          <w:rFonts w:ascii="Century Schoolbook" w:hAnsi="Century Schoolbook"/>
        </w:rPr>
        <w:t xml:space="preserve"> in this manner. </w:t>
      </w:r>
      <w:r w:rsidRPr="002A2C7E">
        <w:rPr>
          <w:rFonts w:ascii="Century Schoolbook" w:hAnsi="Century Schoolbook"/>
          <w:i/>
        </w:rPr>
        <w:t xml:space="preserve">See </w:t>
      </w:r>
      <w:proofErr w:type="spellStart"/>
      <w:r w:rsidRPr="002A2C7E">
        <w:rPr>
          <w:rFonts w:ascii="Century Schoolbook" w:eastAsia="Times New Roman" w:hAnsi="Century Schoolbook"/>
          <w:i/>
          <w:color w:val="000000"/>
          <w:bdr w:val="none" w:sz="0" w:space="0" w:color="auto" w:frame="1"/>
        </w:rPr>
        <w:t>Phx</w:t>
      </w:r>
      <w:proofErr w:type="spellEnd"/>
      <w:r w:rsidRPr="002A2C7E">
        <w:rPr>
          <w:rFonts w:ascii="Century Schoolbook" w:eastAsia="Times New Roman" w:hAnsi="Century Schoolbook"/>
          <w:i/>
          <w:color w:val="000000"/>
          <w:bdr w:val="none" w:sz="0" w:space="0" w:color="auto" w:frame="1"/>
        </w:rPr>
        <w:t>. Entm</w:t>
      </w:r>
      <w:r w:rsidR="006D63F6">
        <w:rPr>
          <w:rFonts w:ascii="Century Schoolbook" w:eastAsia="Times New Roman" w:hAnsi="Century Schoolbook"/>
          <w:i/>
          <w:color w:val="000000"/>
          <w:bdr w:val="none" w:sz="0" w:space="0" w:color="auto" w:frame="1"/>
        </w:rPr>
        <w:t>’</w:t>
      </w:r>
      <w:r w:rsidRPr="002A2C7E">
        <w:rPr>
          <w:rFonts w:ascii="Century Schoolbook" w:eastAsia="Times New Roman" w:hAnsi="Century Schoolbook"/>
          <w:i/>
          <w:color w:val="000000"/>
          <w:bdr w:val="none" w:sz="0" w:space="0" w:color="auto" w:frame="1"/>
        </w:rPr>
        <w:t>t Partners, LLC v. Casey Rd. Food &amp; Beverage</w:t>
      </w:r>
      <w:r w:rsidRPr="002A2C7E">
        <w:rPr>
          <w:rFonts w:ascii="Century Schoolbook" w:eastAsia="Times New Roman" w:hAnsi="Century Schoolbook"/>
          <w:i/>
          <w:iCs/>
          <w:color w:val="000000"/>
          <w:bdr w:val="none" w:sz="0" w:space="0" w:color="auto" w:frame="1"/>
        </w:rPr>
        <w:t>, LLC</w:t>
      </w:r>
      <w:r w:rsidRPr="002A2C7E">
        <w:rPr>
          <w:rFonts w:ascii="Century Schoolbook" w:eastAsia="Times New Roman" w:hAnsi="Century Schoolbook"/>
          <w:color w:val="000000"/>
          <w:bdr w:val="none" w:sz="0" w:space="0" w:color="auto" w:frame="1"/>
        </w:rPr>
        <w:t>, 728 F. </w:t>
      </w:r>
      <w:proofErr w:type="spellStart"/>
      <w:r w:rsidRPr="002A2C7E">
        <w:rPr>
          <w:rFonts w:ascii="Century Schoolbook" w:eastAsia="Times New Roman" w:hAnsi="Century Schoolbook"/>
          <w:color w:val="000000"/>
          <w:bdr w:val="none" w:sz="0" w:space="0" w:color="auto" w:frame="1"/>
        </w:rPr>
        <w:t>App</w:t>
      </w:r>
      <w:r w:rsidR="006D63F6">
        <w:rPr>
          <w:rFonts w:ascii="Century Schoolbook" w:eastAsia="Times New Roman" w:hAnsi="Century Schoolbook"/>
          <w:color w:val="000000"/>
          <w:bdr w:val="none" w:sz="0" w:space="0" w:color="auto" w:frame="1"/>
        </w:rPr>
        <w:t>’</w:t>
      </w:r>
      <w:r w:rsidRPr="002A2C7E">
        <w:rPr>
          <w:rFonts w:ascii="Century Schoolbook" w:eastAsia="Times New Roman" w:hAnsi="Century Schoolbook"/>
          <w:color w:val="000000"/>
          <w:bdr w:val="none" w:sz="0" w:space="0" w:color="auto" w:frame="1"/>
        </w:rPr>
        <w:t>x</w:t>
      </w:r>
      <w:proofErr w:type="spellEnd"/>
      <w:r w:rsidRPr="002A2C7E">
        <w:rPr>
          <w:rFonts w:ascii="Century Schoolbook" w:eastAsia="Times New Roman" w:hAnsi="Century Schoolbook"/>
          <w:color w:val="000000"/>
          <w:bdr w:val="none" w:sz="0" w:space="0" w:color="auto" w:frame="1"/>
        </w:rPr>
        <w:t xml:space="preserve"> 910, 913 (11th Cir. 2018);</w:t>
      </w:r>
      <w:r w:rsidRPr="002A2C7E">
        <w:rPr>
          <w:rFonts w:ascii="Century Schoolbook" w:hAnsi="Century Schoolbook"/>
          <w:i/>
        </w:rPr>
        <w:t xml:space="preserve"> </w:t>
      </w:r>
      <w:proofErr w:type="spellStart"/>
      <w:r w:rsidRPr="002A2C7E">
        <w:rPr>
          <w:rFonts w:ascii="Century Schoolbook" w:hAnsi="Century Schoolbook"/>
          <w:i/>
        </w:rPr>
        <w:t>Slep</w:t>
      </w:r>
      <w:proofErr w:type="spellEnd"/>
      <w:r w:rsidRPr="002A2C7E">
        <w:rPr>
          <w:rFonts w:ascii="Century Schoolbook" w:hAnsi="Century Schoolbook"/>
          <w:i/>
        </w:rPr>
        <w:t>-Tone Entm</w:t>
      </w:r>
      <w:r w:rsidR="006D63F6">
        <w:rPr>
          <w:rFonts w:ascii="Century Schoolbook" w:hAnsi="Century Schoolbook"/>
          <w:i/>
        </w:rPr>
        <w:t>’</w:t>
      </w:r>
      <w:r w:rsidRPr="002A2C7E">
        <w:rPr>
          <w:rFonts w:ascii="Century Schoolbook" w:hAnsi="Century Schoolbook"/>
          <w:i/>
        </w:rPr>
        <w:t xml:space="preserve">t Corp. v. Wired for Sound </w:t>
      </w:r>
      <w:r w:rsidRPr="002A2C7E">
        <w:rPr>
          <w:rFonts w:ascii="Century Schoolbook" w:hAnsi="Century Schoolbook"/>
          <w:i/>
        </w:rPr>
        <w:lastRenderedPageBreak/>
        <w:t>Karaoke &amp; DJ Servs., LLC</w:t>
      </w:r>
      <w:r w:rsidRPr="002A2C7E">
        <w:rPr>
          <w:rFonts w:ascii="Century Schoolbook" w:hAnsi="Century Schoolbook"/>
        </w:rPr>
        <w:t xml:space="preserve">, 845 F.3d 1246, 1250 (9th Cir. 2017); </w:t>
      </w:r>
      <w:r w:rsidRPr="002A2C7E">
        <w:rPr>
          <w:rFonts w:ascii="Century Schoolbook" w:eastAsia="Times New Roman" w:hAnsi="Century Schoolbook"/>
          <w:i/>
          <w:color w:val="000000"/>
          <w:bdr w:val="none" w:sz="0" w:space="0" w:color="auto" w:frame="1"/>
        </w:rPr>
        <w:t>Warner Bros. Entm</w:t>
      </w:r>
      <w:r w:rsidR="006D63F6">
        <w:rPr>
          <w:rFonts w:ascii="Century Schoolbook" w:eastAsia="Times New Roman" w:hAnsi="Century Schoolbook"/>
          <w:i/>
          <w:color w:val="000000"/>
          <w:bdr w:val="none" w:sz="0" w:space="0" w:color="auto" w:frame="1"/>
        </w:rPr>
        <w:t>’</w:t>
      </w:r>
      <w:r w:rsidRPr="002A2C7E">
        <w:rPr>
          <w:rFonts w:ascii="Century Schoolbook" w:eastAsia="Times New Roman" w:hAnsi="Century Schoolbook"/>
          <w:i/>
          <w:color w:val="000000"/>
          <w:bdr w:val="none" w:sz="0" w:space="0" w:color="auto" w:frame="1"/>
        </w:rPr>
        <w:t>t v. X One X Prods.</w:t>
      </w:r>
      <w:r w:rsidRPr="002A2C7E">
        <w:rPr>
          <w:rFonts w:ascii="Century Schoolbook" w:eastAsia="Times New Roman" w:hAnsi="Century Schoolbook"/>
          <w:color w:val="000000"/>
          <w:bdr w:val="none" w:sz="0" w:space="0" w:color="auto" w:frame="1"/>
        </w:rPr>
        <w:t>, 840 F.3d 971, 980 (8th Cir. 2016);</w:t>
      </w:r>
      <w:r w:rsidRPr="002A2C7E">
        <w:rPr>
          <w:rFonts w:ascii="Century Schoolbook" w:eastAsia="Times New Roman" w:hAnsi="Century Schoolbook"/>
          <w:i/>
          <w:color w:val="000000"/>
          <w:bdr w:val="none" w:sz="0" w:space="0" w:color="auto" w:frame="1"/>
        </w:rPr>
        <w:t xml:space="preserve"> </w:t>
      </w:r>
      <w:proofErr w:type="spellStart"/>
      <w:r w:rsidRPr="002A2C7E">
        <w:rPr>
          <w:rFonts w:ascii="Century Schoolbook" w:eastAsia="Times New Roman" w:hAnsi="Century Schoolbook"/>
          <w:i/>
          <w:color w:val="000000"/>
          <w:bdr w:val="none" w:sz="0" w:space="0" w:color="auto" w:frame="1"/>
        </w:rPr>
        <w:t>Phx</w:t>
      </w:r>
      <w:proofErr w:type="spellEnd"/>
      <w:r w:rsidRPr="002A2C7E">
        <w:rPr>
          <w:rFonts w:ascii="Century Schoolbook" w:eastAsia="Times New Roman" w:hAnsi="Century Schoolbook"/>
          <w:i/>
          <w:color w:val="000000"/>
          <w:bdr w:val="none" w:sz="0" w:space="0" w:color="auto" w:frame="1"/>
        </w:rPr>
        <w:t>. Entm</w:t>
      </w:r>
      <w:r w:rsidR="006D63F6">
        <w:rPr>
          <w:rFonts w:ascii="Century Schoolbook" w:eastAsia="Times New Roman" w:hAnsi="Century Schoolbook"/>
          <w:i/>
          <w:color w:val="000000"/>
          <w:bdr w:val="none" w:sz="0" w:space="0" w:color="auto" w:frame="1"/>
        </w:rPr>
        <w:t>’</w:t>
      </w:r>
      <w:r w:rsidRPr="002A2C7E">
        <w:rPr>
          <w:rFonts w:ascii="Century Schoolbook" w:eastAsia="Times New Roman" w:hAnsi="Century Schoolbook"/>
          <w:i/>
          <w:color w:val="000000"/>
          <w:bdr w:val="none" w:sz="0" w:space="0" w:color="auto" w:frame="1"/>
        </w:rPr>
        <w:t>t Partners v. Rumsey</w:t>
      </w:r>
      <w:r w:rsidRPr="002A2C7E">
        <w:rPr>
          <w:rFonts w:ascii="Century Schoolbook" w:eastAsia="Times New Roman" w:hAnsi="Century Schoolbook"/>
          <w:color w:val="000000"/>
          <w:bdr w:val="none" w:sz="0" w:space="0" w:color="auto" w:frame="1"/>
        </w:rPr>
        <w:t>, 829 F.3d 817, 826 (7th Cir. 2016).</w:t>
      </w:r>
    </w:p>
    <w:p w14:paraId="311E2A28" w14:textId="77777777" w:rsidR="00E10AB7" w:rsidRPr="002A2C7E" w:rsidRDefault="00E10AB7" w:rsidP="007B1E98">
      <w:pPr>
        <w:spacing w:after="0" w:line="240" w:lineRule="auto"/>
        <w:ind w:firstLine="720"/>
        <w:jc w:val="both"/>
        <w:rPr>
          <w:rFonts w:ascii="Century Schoolbook" w:hAnsi="Century Schoolbook"/>
          <w:i/>
        </w:rPr>
      </w:pPr>
    </w:p>
    <w:p w14:paraId="6D43FC66" w14:textId="2990A41C" w:rsidR="00E10AB7" w:rsidRPr="002A2C7E" w:rsidRDefault="00E10AB7" w:rsidP="007B1E98">
      <w:pPr>
        <w:spacing w:after="0" w:line="240" w:lineRule="auto"/>
        <w:ind w:firstLine="720"/>
        <w:jc w:val="both"/>
        <w:rPr>
          <w:rFonts w:ascii="Century Schoolbook" w:hAnsi="Century Schoolbook"/>
        </w:rPr>
      </w:pPr>
      <w:r w:rsidRPr="002A2C7E">
        <w:rPr>
          <w:rFonts w:ascii="Century Schoolbook" w:hAnsi="Century Schoolbook"/>
        </w:rPr>
        <w:t>The Ninth Circuit said that “</w:t>
      </w:r>
      <w:proofErr w:type="spellStart"/>
      <w:r w:rsidRPr="002A2C7E">
        <w:rPr>
          <w:rFonts w:ascii="Century Schoolbook" w:hAnsi="Century Schoolbook"/>
          <w:i/>
          <w:iCs/>
        </w:rPr>
        <w:t>Dastar</w:t>
      </w:r>
      <w:proofErr w:type="spellEnd"/>
      <w:r w:rsidRPr="002A2C7E">
        <w:rPr>
          <w:rFonts w:ascii="Century Schoolbook" w:hAnsi="Century Schoolbook"/>
        </w:rPr>
        <w:t xml:space="preserve"> held that where a copyright is in the public domain, a party may not assert a trademark infringement action against an alleged infringer if that action is essentially a substitute for a copyright infringement action.” </w:t>
      </w:r>
      <w:r w:rsidRPr="002A2C7E">
        <w:rPr>
          <w:rFonts w:ascii="Century Schoolbook" w:hAnsi="Century Schoolbook"/>
          <w:i/>
        </w:rPr>
        <w:t>Fleischer Studios, Inc. v. A.V.E.L.A., Inc.</w:t>
      </w:r>
      <w:r w:rsidRPr="002A2C7E">
        <w:rPr>
          <w:rFonts w:ascii="Century Schoolbook" w:hAnsi="Century Schoolbook"/>
        </w:rPr>
        <w:t xml:space="preserve">, 636 F.3d 1115, 1124 (9th Cir. 2011), </w:t>
      </w:r>
      <w:r w:rsidRPr="002A2C7E">
        <w:rPr>
          <w:rFonts w:ascii="Century Schoolbook" w:hAnsi="Century Schoolbook"/>
          <w:i/>
          <w:iCs/>
        </w:rPr>
        <w:t>opinion withdrawn and superseded on denial of reh</w:t>
      </w:r>
      <w:r w:rsidR="009739A9">
        <w:rPr>
          <w:rFonts w:ascii="Century Schoolbook" w:hAnsi="Century Schoolbook"/>
          <w:i/>
          <w:iCs/>
        </w:rPr>
        <w:t>’</w:t>
      </w:r>
      <w:r w:rsidRPr="002A2C7E">
        <w:rPr>
          <w:rFonts w:ascii="Century Schoolbook" w:hAnsi="Century Schoolbook"/>
          <w:i/>
          <w:iCs/>
        </w:rPr>
        <w:t>g</w:t>
      </w:r>
      <w:r w:rsidRPr="002A2C7E">
        <w:rPr>
          <w:rFonts w:ascii="Century Schoolbook" w:hAnsi="Century Schoolbook"/>
        </w:rPr>
        <w:t xml:space="preserve">, 654 F.3d 958 (9th Cir. 2011). However, the Ninth Circuit withdrew this opinion and ruled that Fleischer Studios did not own the trademark in the image in the first place. </w:t>
      </w:r>
      <w:r w:rsidRPr="002A2C7E">
        <w:rPr>
          <w:rFonts w:ascii="Century Schoolbook" w:hAnsi="Century Schoolbook"/>
          <w:i/>
        </w:rPr>
        <w:t>Fleischer Studios, Inc. v. A.V.E.L.A., Inc.</w:t>
      </w:r>
      <w:r w:rsidRPr="002A2C7E">
        <w:rPr>
          <w:rFonts w:ascii="Century Schoolbook" w:hAnsi="Century Schoolbook"/>
        </w:rPr>
        <w:t>, 654 F.3d 958, 966</w:t>
      </w:r>
      <w:r w:rsidR="00E7767D" w:rsidRPr="002A2C7E">
        <w:rPr>
          <w:rFonts w:ascii="Century Schoolbook" w:hAnsi="Century Schoolbook"/>
        </w:rPr>
        <w:t>–</w:t>
      </w:r>
      <w:r w:rsidRPr="002A2C7E">
        <w:rPr>
          <w:rFonts w:ascii="Century Schoolbook" w:hAnsi="Century Schoolbook"/>
        </w:rPr>
        <w:t xml:space="preserve">67 (9th Cir. 2011). The case thus has diminished persuasive authority. That being said, the Ninth Circuit issued an opinion interpreting </w:t>
      </w:r>
      <w:proofErr w:type="spellStart"/>
      <w:r w:rsidRPr="002A2C7E">
        <w:rPr>
          <w:rFonts w:ascii="Century Schoolbook" w:hAnsi="Century Schoolbook"/>
          <w:i/>
        </w:rPr>
        <w:t>Dastar</w:t>
      </w:r>
      <w:proofErr w:type="spellEnd"/>
      <w:r w:rsidRPr="002A2C7E">
        <w:rPr>
          <w:rFonts w:ascii="Century Schoolbook" w:hAnsi="Century Schoolbook"/>
          <w:i/>
        </w:rPr>
        <w:t xml:space="preserve"> </w:t>
      </w:r>
      <w:r w:rsidRPr="002A2C7E">
        <w:rPr>
          <w:rFonts w:ascii="Century Schoolbook" w:hAnsi="Century Schoolbook"/>
        </w:rPr>
        <w:t xml:space="preserve">in essentially the same way six years later. </w:t>
      </w:r>
      <w:proofErr w:type="spellStart"/>
      <w:r w:rsidRPr="002A2C7E">
        <w:rPr>
          <w:rFonts w:ascii="Century Schoolbook" w:hAnsi="Century Schoolbook"/>
          <w:i/>
        </w:rPr>
        <w:t>Slep</w:t>
      </w:r>
      <w:proofErr w:type="spellEnd"/>
      <w:r w:rsidRPr="002A2C7E">
        <w:rPr>
          <w:rFonts w:ascii="Century Schoolbook" w:hAnsi="Century Schoolbook"/>
          <w:i/>
        </w:rPr>
        <w:t>-Tone Entm</w:t>
      </w:r>
      <w:r w:rsidR="009739A9">
        <w:rPr>
          <w:rFonts w:ascii="Century Schoolbook" w:hAnsi="Century Schoolbook"/>
          <w:i/>
        </w:rPr>
        <w:t>’</w:t>
      </w:r>
      <w:r w:rsidRPr="002A2C7E">
        <w:rPr>
          <w:rFonts w:ascii="Century Schoolbook" w:hAnsi="Century Schoolbook"/>
          <w:i/>
        </w:rPr>
        <w:t>t Corp</w:t>
      </w:r>
      <w:r w:rsidRPr="002A2C7E">
        <w:rPr>
          <w:rFonts w:ascii="Century Schoolbook" w:hAnsi="Century Schoolbook"/>
        </w:rPr>
        <w:t>, 845 F.3d at 1250 (saying that courts should not allow trademark claims which are “more accurately conceived of as attacking unauthorized copying”).</w:t>
      </w:r>
    </w:p>
    <w:p w14:paraId="6436B3E9" w14:textId="77777777" w:rsidR="00E10AB7" w:rsidRPr="002A2C7E" w:rsidRDefault="00E10AB7" w:rsidP="007B1E98">
      <w:pPr>
        <w:spacing w:after="0" w:line="240" w:lineRule="auto"/>
        <w:ind w:firstLine="720"/>
        <w:jc w:val="both"/>
        <w:rPr>
          <w:rFonts w:ascii="Century Schoolbook" w:hAnsi="Century Schoolbook"/>
        </w:rPr>
      </w:pPr>
    </w:p>
    <w:p w14:paraId="21A0F05A" w14:textId="3CDFA4F7"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hAnsi="Century Schoolbook"/>
        </w:rPr>
        <w:t>The Eighth Circuit largely</w:t>
      </w:r>
      <w:r w:rsidR="009739A9">
        <w:rPr>
          <w:rFonts w:ascii="Century Schoolbook" w:hAnsi="Century Schoolbook"/>
        </w:rPr>
        <w:t xml:space="preserve"> reached</w:t>
      </w:r>
      <w:r w:rsidRPr="002A2C7E">
        <w:rPr>
          <w:rFonts w:ascii="Century Schoolbook" w:hAnsi="Century Schoolbook"/>
        </w:rPr>
        <w:t xml:space="preserve"> the same interpretation, </w:t>
      </w:r>
      <w:r w:rsidR="009739A9">
        <w:rPr>
          <w:rFonts w:ascii="Century Schoolbook" w:hAnsi="Century Schoolbook"/>
        </w:rPr>
        <w:t>holding</w:t>
      </w:r>
      <w:r w:rsidR="009739A9" w:rsidRPr="002A2C7E">
        <w:rPr>
          <w:rFonts w:ascii="Century Schoolbook" w:hAnsi="Century Schoolbook"/>
        </w:rPr>
        <w:t xml:space="preserve"> </w:t>
      </w:r>
      <w:r w:rsidRPr="002A2C7E">
        <w:rPr>
          <w:rFonts w:ascii="Century Schoolbook" w:hAnsi="Century Schoolbook"/>
        </w:rPr>
        <w:t xml:space="preserve">that </w:t>
      </w:r>
      <w:proofErr w:type="spellStart"/>
      <w:r w:rsidRPr="002A2C7E">
        <w:rPr>
          <w:rFonts w:ascii="Century Schoolbook" w:hAnsi="Century Schoolbook"/>
          <w:i/>
        </w:rPr>
        <w:t>Dastar</w:t>
      </w:r>
      <w:proofErr w:type="spellEnd"/>
      <w:r w:rsidRPr="002A2C7E">
        <w:rPr>
          <w:rFonts w:ascii="Century Schoolbook" w:hAnsi="Century Schoolbook"/>
        </w:rPr>
        <w:t xml:space="preserve"> bars trademark claims which are actually “disguised copyright claims.”</w:t>
      </w:r>
      <w:r w:rsidRPr="002A2C7E">
        <w:rPr>
          <w:rFonts w:ascii="Century Schoolbook" w:eastAsia="Times New Roman" w:hAnsi="Century Schoolbook"/>
          <w:color w:val="000000"/>
          <w:bdr w:val="none" w:sz="0" w:space="0" w:color="auto" w:frame="1"/>
        </w:rPr>
        <w:t xml:space="preserve"> </w:t>
      </w:r>
      <w:r w:rsidRPr="002A2C7E">
        <w:rPr>
          <w:rFonts w:ascii="Century Schoolbook" w:eastAsia="Times New Roman" w:hAnsi="Century Schoolbook"/>
          <w:i/>
          <w:color w:val="000000"/>
          <w:bdr w:val="none" w:sz="0" w:space="0" w:color="auto" w:frame="1"/>
        </w:rPr>
        <w:t>X One X Prods.</w:t>
      </w:r>
      <w:r w:rsidRPr="002A2C7E">
        <w:rPr>
          <w:rFonts w:ascii="Century Schoolbook" w:eastAsia="Times New Roman" w:hAnsi="Century Schoolbook"/>
          <w:color w:val="000000"/>
          <w:bdr w:val="none" w:sz="0" w:space="0" w:color="auto" w:frame="1"/>
        </w:rPr>
        <w:t xml:space="preserve">, 840 F.3d at 980. In that case, the defendant had sold promotional posters for a variety of films and shows, such as the </w:t>
      </w:r>
      <w:r w:rsidRPr="002A2C7E">
        <w:rPr>
          <w:rFonts w:ascii="Century Schoolbook" w:eastAsia="Times New Roman" w:hAnsi="Century Schoolbook"/>
          <w:i/>
          <w:color w:val="000000"/>
          <w:bdr w:val="none" w:sz="0" w:space="0" w:color="auto" w:frame="1"/>
        </w:rPr>
        <w:t>Wizard of Oz</w:t>
      </w:r>
      <w:r w:rsidRPr="002A2C7E">
        <w:rPr>
          <w:rFonts w:ascii="Century Schoolbook" w:eastAsia="Times New Roman" w:hAnsi="Century Schoolbook"/>
          <w:color w:val="000000"/>
          <w:bdr w:val="none" w:sz="0" w:space="0" w:color="auto" w:frame="1"/>
        </w:rPr>
        <w:t xml:space="preserve"> and </w:t>
      </w:r>
      <w:r w:rsidRPr="002A2C7E">
        <w:rPr>
          <w:rFonts w:ascii="Century Schoolbook" w:eastAsia="Times New Roman" w:hAnsi="Century Schoolbook"/>
          <w:i/>
          <w:color w:val="000000"/>
          <w:bdr w:val="none" w:sz="0" w:space="0" w:color="auto" w:frame="1"/>
        </w:rPr>
        <w:t>Gone with the Wind</w:t>
      </w:r>
      <w:r w:rsidRPr="002A2C7E">
        <w:rPr>
          <w:rFonts w:ascii="Century Schoolbook" w:eastAsia="Times New Roman" w:hAnsi="Century Schoolbook"/>
          <w:color w:val="000000"/>
          <w:bdr w:val="none" w:sz="0" w:space="0" w:color="auto" w:frame="1"/>
        </w:rPr>
        <w:t xml:space="preserve">. </w:t>
      </w:r>
      <w:r w:rsidRPr="002A2C7E">
        <w:rPr>
          <w:rFonts w:ascii="Century Schoolbook" w:eastAsia="Times New Roman" w:hAnsi="Century Schoolbook"/>
          <w:i/>
          <w:color w:val="000000"/>
          <w:bdr w:val="none" w:sz="0" w:space="0" w:color="auto" w:frame="1"/>
        </w:rPr>
        <w:t>Id</w:t>
      </w:r>
      <w:r w:rsidRPr="002A2C7E">
        <w:rPr>
          <w:rFonts w:ascii="Century Schoolbook" w:eastAsia="Times New Roman" w:hAnsi="Century Schoolbook"/>
          <w:color w:val="000000"/>
          <w:bdr w:val="none" w:sz="0" w:space="0" w:color="auto" w:frame="1"/>
        </w:rPr>
        <w:t xml:space="preserve">. at 975. The films themselves were still under copyright, but the posters were not. </w:t>
      </w:r>
      <w:r w:rsidRPr="002A2C7E">
        <w:rPr>
          <w:rFonts w:ascii="Century Schoolbook" w:eastAsia="Times New Roman" w:hAnsi="Century Schoolbook"/>
          <w:i/>
          <w:color w:val="000000"/>
          <w:bdr w:val="none" w:sz="0" w:space="0" w:color="auto" w:frame="1"/>
        </w:rPr>
        <w:t>Id</w:t>
      </w:r>
      <w:r w:rsidRPr="002A2C7E">
        <w:rPr>
          <w:rFonts w:ascii="Century Schoolbook" w:eastAsia="Times New Roman" w:hAnsi="Century Schoolbook"/>
          <w:color w:val="000000"/>
          <w:bdr w:val="none" w:sz="0" w:space="0" w:color="auto" w:frame="1"/>
        </w:rPr>
        <w:t xml:space="preserve">. The Eighth Circuit found that the trademark claim was not a disguised copyright claim because the images were used by the defendant to “associate the products with Warner’s films, not to copy the film itself.” </w:t>
      </w:r>
      <w:r w:rsidRPr="002A2C7E">
        <w:rPr>
          <w:rFonts w:ascii="Century Schoolbook" w:eastAsia="Times New Roman" w:hAnsi="Century Schoolbook"/>
          <w:i/>
          <w:color w:val="000000"/>
          <w:bdr w:val="none" w:sz="0" w:space="0" w:color="auto" w:frame="1"/>
        </w:rPr>
        <w:t>Id</w:t>
      </w:r>
      <w:r w:rsidRPr="002A2C7E">
        <w:rPr>
          <w:rFonts w:ascii="Century Schoolbook" w:eastAsia="Times New Roman" w:hAnsi="Century Schoolbook"/>
          <w:color w:val="000000"/>
          <w:bdr w:val="none" w:sz="0" w:space="0" w:color="auto" w:frame="1"/>
        </w:rPr>
        <w:t>. at 980. Both parties will claim this case favors their side. Appellant can claim that what is occurring is more akin to copying the short “</w:t>
      </w:r>
      <w:r w:rsidRPr="002A2C7E">
        <w:rPr>
          <w:rFonts w:ascii="Century Schoolbook" w:eastAsia="Times New Roman" w:hAnsi="Century Schoolbook"/>
          <w:iCs/>
          <w:color w:val="000000"/>
          <w:bdr w:val="none" w:sz="0" w:space="0" w:color="auto" w:frame="1"/>
        </w:rPr>
        <w:t>Racecar Richard”</w:t>
      </w:r>
      <w:r w:rsidRPr="002A2C7E">
        <w:rPr>
          <w:rFonts w:ascii="Century Schoolbook" w:eastAsia="Times New Roman" w:hAnsi="Century Schoolbook"/>
          <w:color w:val="000000"/>
          <w:bdr w:val="none" w:sz="0" w:space="0" w:color="auto" w:frame="1"/>
        </w:rPr>
        <w:t xml:space="preserve"> itself, while Appellee can argue that Appellants chose that short specifically to associate their film with Appellee’s Ricky the Raccoon</w:t>
      </w:r>
      <w:r w:rsidRPr="002A2C7E">
        <w:rPr>
          <w:rFonts w:ascii="Century Schoolbook" w:eastAsia="Times New Roman" w:hAnsi="Century Schoolbook"/>
          <w:i/>
          <w:color w:val="000000"/>
          <w:bdr w:val="none" w:sz="0" w:space="0" w:color="auto" w:frame="1"/>
        </w:rPr>
        <w:t xml:space="preserve"> </w:t>
      </w:r>
      <w:r w:rsidRPr="002A2C7E">
        <w:rPr>
          <w:rFonts w:ascii="Century Schoolbook" w:eastAsia="Times New Roman" w:hAnsi="Century Schoolbook"/>
          <w:color w:val="000000"/>
          <w:bdr w:val="none" w:sz="0" w:space="0" w:color="auto" w:frame="1"/>
        </w:rPr>
        <w:t xml:space="preserve">franchise generally. </w:t>
      </w:r>
    </w:p>
    <w:p w14:paraId="36316617" w14:textId="77777777"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p>
    <w:p w14:paraId="20265F71" w14:textId="6AC86774"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eastAsia="Times New Roman" w:hAnsi="Century Schoolbook"/>
          <w:color w:val="000000"/>
          <w:bdr w:val="none" w:sz="0" w:space="0" w:color="auto" w:frame="1"/>
        </w:rPr>
        <w:t xml:space="preserve">The Seventh Circuit likewise adopted a similar standard, saying “the law of trademark cannot be invoked to assert what in fact is really a claim of copyright infringement.” </w:t>
      </w:r>
      <w:r w:rsidRPr="002A2C7E">
        <w:rPr>
          <w:rFonts w:ascii="Century Schoolbook" w:eastAsia="Times New Roman" w:hAnsi="Century Schoolbook"/>
          <w:i/>
          <w:color w:val="000000"/>
          <w:bdr w:val="none" w:sz="0" w:space="0" w:color="auto" w:frame="1"/>
        </w:rPr>
        <w:t>Rumsey</w:t>
      </w:r>
      <w:r w:rsidRPr="002A2C7E">
        <w:rPr>
          <w:rFonts w:ascii="Century Schoolbook" w:eastAsia="Times New Roman" w:hAnsi="Century Schoolbook"/>
          <w:color w:val="000000"/>
          <w:bdr w:val="none" w:sz="0" w:space="0" w:color="auto" w:frame="1"/>
        </w:rPr>
        <w:t>, 829 F.3d at 826. Appellant may point out that the Seventh Circuit held that this standard applies not just to confusion over origin, but also confusion over sponsorship.</w:t>
      </w:r>
      <w:r w:rsidRPr="002A2C7E">
        <w:rPr>
          <w:rFonts w:ascii="Century Schoolbook" w:eastAsia="Times New Roman" w:hAnsi="Century Schoolbook"/>
          <w:i/>
          <w:color w:val="000000"/>
          <w:bdr w:val="none" w:sz="0" w:space="0" w:color="auto" w:frame="1"/>
        </w:rPr>
        <w:t xml:space="preserve"> Id. </w:t>
      </w:r>
      <w:r w:rsidRPr="002A2C7E">
        <w:rPr>
          <w:rFonts w:ascii="Century Schoolbook" w:eastAsia="Times New Roman" w:hAnsi="Century Schoolbook"/>
          <w:color w:val="000000"/>
          <w:bdr w:val="none" w:sz="0" w:space="0" w:color="auto" w:frame="1"/>
        </w:rPr>
        <w:t xml:space="preserve">at 830 (“There is, consequently, no reason to believe that its patrons will think that </w:t>
      </w:r>
      <w:proofErr w:type="spellStart"/>
      <w:r w:rsidRPr="002A2C7E">
        <w:rPr>
          <w:rFonts w:ascii="Century Schoolbook" w:eastAsia="Times New Roman" w:hAnsi="Century Schoolbook"/>
          <w:color w:val="000000"/>
          <w:bdr w:val="none" w:sz="0" w:space="0" w:color="auto" w:frame="1"/>
        </w:rPr>
        <w:t>Slep</w:t>
      </w:r>
      <w:proofErr w:type="spellEnd"/>
      <w:r w:rsidRPr="002A2C7E">
        <w:rPr>
          <w:rFonts w:ascii="Century Schoolbook" w:eastAsia="Times New Roman" w:hAnsi="Century Schoolbook"/>
          <w:color w:val="000000"/>
          <w:bdr w:val="none" w:sz="0" w:space="0" w:color="auto" w:frame="1"/>
        </w:rPr>
        <w:t xml:space="preserve">-Tone is sponsoring the performance of the copied karaoke tracks.”) The Eleventh Circuit agreed with this logic in an unpublished opinion, holding that “a trademark claim cannot serve as a vehicle for what is really a copyright claim.” </w:t>
      </w:r>
      <w:r w:rsidRPr="002A2C7E">
        <w:rPr>
          <w:rFonts w:ascii="Century Schoolbook" w:eastAsia="Times New Roman" w:hAnsi="Century Schoolbook"/>
          <w:i/>
          <w:color w:val="000000"/>
          <w:bdr w:val="none" w:sz="0" w:space="0" w:color="auto" w:frame="1"/>
        </w:rPr>
        <w:t>Casey Rd. Food &amp; Beverage</w:t>
      </w:r>
      <w:r w:rsidRPr="002A2C7E">
        <w:rPr>
          <w:rFonts w:ascii="Century Schoolbook" w:eastAsia="Times New Roman" w:hAnsi="Century Schoolbook"/>
          <w:color w:val="000000"/>
          <w:bdr w:val="none" w:sz="0" w:space="0" w:color="auto" w:frame="1"/>
        </w:rPr>
        <w:t xml:space="preserve">, 728 F. </w:t>
      </w:r>
      <w:proofErr w:type="spellStart"/>
      <w:r w:rsidRPr="002A2C7E">
        <w:rPr>
          <w:rFonts w:ascii="Century Schoolbook" w:eastAsia="Times New Roman" w:hAnsi="Century Schoolbook"/>
          <w:color w:val="000000"/>
          <w:bdr w:val="none" w:sz="0" w:space="0" w:color="auto" w:frame="1"/>
        </w:rPr>
        <w:t>App</w:t>
      </w:r>
      <w:r w:rsidR="009739A9">
        <w:rPr>
          <w:rFonts w:ascii="Century Schoolbook" w:eastAsia="Times New Roman" w:hAnsi="Century Schoolbook"/>
          <w:color w:val="000000"/>
          <w:bdr w:val="none" w:sz="0" w:space="0" w:color="auto" w:frame="1"/>
        </w:rPr>
        <w:t>’</w:t>
      </w:r>
      <w:r w:rsidRPr="002A2C7E">
        <w:rPr>
          <w:rFonts w:ascii="Century Schoolbook" w:eastAsia="Times New Roman" w:hAnsi="Century Schoolbook"/>
          <w:color w:val="000000"/>
          <w:bdr w:val="none" w:sz="0" w:space="0" w:color="auto" w:frame="1"/>
        </w:rPr>
        <w:t>x</w:t>
      </w:r>
      <w:proofErr w:type="spellEnd"/>
      <w:r w:rsidRPr="002A2C7E">
        <w:rPr>
          <w:rFonts w:ascii="Century Schoolbook" w:eastAsia="Times New Roman" w:hAnsi="Century Schoolbook"/>
          <w:color w:val="000000"/>
          <w:bdr w:val="none" w:sz="0" w:space="0" w:color="auto" w:frame="1"/>
        </w:rPr>
        <w:t xml:space="preserve"> at 913. </w:t>
      </w:r>
    </w:p>
    <w:p w14:paraId="7B2838C8" w14:textId="77777777"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p>
    <w:p w14:paraId="51173C7A" w14:textId="0ABD0499"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eastAsia="Times New Roman" w:hAnsi="Century Schoolbook"/>
          <w:color w:val="000000"/>
          <w:bdr w:val="none" w:sz="0" w:space="0" w:color="auto" w:frame="1"/>
        </w:rPr>
        <w:t xml:space="preserve">Appellant will need to convince the </w:t>
      </w:r>
      <w:r w:rsidR="006A67A3">
        <w:rPr>
          <w:rFonts w:ascii="Century Schoolbook" w:eastAsia="Times New Roman" w:hAnsi="Century Schoolbook"/>
          <w:color w:val="000000"/>
          <w:bdr w:val="none" w:sz="0" w:space="0" w:color="auto" w:frame="1"/>
        </w:rPr>
        <w:t>C</w:t>
      </w:r>
      <w:r w:rsidRPr="002A2C7E">
        <w:rPr>
          <w:rFonts w:ascii="Century Schoolbook" w:eastAsia="Times New Roman" w:hAnsi="Century Schoolbook"/>
          <w:color w:val="000000"/>
          <w:bdr w:val="none" w:sz="0" w:space="0" w:color="auto" w:frame="1"/>
        </w:rPr>
        <w:t xml:space="preserve">ourt to adopt this standard and then also convince the </w:t>
      </w:r>
      <w:r w:rsidR="006A67A3">
        <w:rPr>
          <w:rFonts w:ascii="Century Schoolbook" w:eastAsia="Times New Roman" w:hAnsi="Century Schoolbook"/>
          <w:color w:val="000000"/>
          <w:bdr w:val="none" w:sz="0" w:space="0" w:color="auto" w:frame="1"/>
        </w:rPr>
        <w:t>C</w:t>
      </w:r>
      <w:r w:rsidRPr="002A2C7E">
        <w:rPr>
          <w:rFonts w:ascii="Century Schoolbook" w:eastAsia="Times New Roman" w:hAnsi="Century Schoolbook"/>
          <w:color w:val="000000"/>
          <w:bdr w:val="none" w:sz="0" w:space="0" w:color="auto" w:frame="1"/>
        </w:rPr>
        <w:t xml:space="preserve">ourt that Appellee’s claim is really just a disguised copyright claim. They will likely point to the fact that Appellee first brought a copyright claim alongside the trademark claim. They may also point out that depictions of characters </w:t>
      </w:r>
      <w:r w:rsidRPr="002A2C7E">
        <w:rPr>
          <w:rFonts w:ascii="Century Schoolbook" w:eastAsia="Times New Roman" w:hAnsi="Century Schoolbook"/>
          <w:color w:val="000000"/>
          <w:bdr w:val="none" w:sz="0" w:space="0" w:color="auto" w:frame="1"/>
        </w:rPr>
        <w:lastRenderedPageBreak/>
        <w:t>in cartoons would traditionally be within the sphere of copyright. Appellant might also employ the same logic as the Fourteenth Circuit panel and say that Appellee’s true injury is loss of control over the character, not a confusion over sponsorship. If the Appellee wins on both fronts, they will win their case unless Appellee can distinguish the above cases from the current problem.</w:t>
      </w:r>
    </w:p>
    <w:p w14:paraId="0377FCD9" w14:textId="77777777"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p>
    <w:p w14:paraId="2D2BD338" w14:textId="36683BF3"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r w:rsidRPr="002A2C7E">
        <w:rPr>
          <w:rFonts w:ascii="Century Schoolbook" w:eastAsia="Times New Roman" w:hAnsi="Century Schoolbook"/>
          <w:color w:val="000000"/>
          <w:bdr w:val="none" w:sz="0" w:space="0" w:color="auto" w:frame="1"/>
        </w:rPr>
        <w:t xml:space="preserve">Appellee will counter that, even if the </w:t>
      </w:r>
      <w:r w:rsidR="006A67A3">
        <w:rPr>
          <w:rFonts w:ascii="Century Schoolbook" w:eastAsia="Times New Roman" w:hAnsi="Century Schoolbook"/>
          <w:color w:val="000000"/>
          <w:bdr w:val="none" w:sz="0" w:space="0" w:color="auto" w:frame="1"/>
        </w:rPr>
        <w:t>C</w:t>
      </w:r>
      <w:r w:rsidRPr="002A2C7E">
        <w:rPr>
          <w:rFonts w:ascii="Century Schoolbook" w:eastAsia="Times New Roman" w:hAnsi="Century Schoolbook"/>
          <w:color w:val="000000"/>
          <w:bdr w:val="none" w:sz="0" w:space="0" w:color="auto" w:frame="1"/>
        </w:rPr>
        <w:t>ourt adopts this standard, they are suing for the depiction in an advertisement, something clearly within the realm of trademark. They might also say that the fame of Ricky Raccoon as the mascot of Appellee and his ubiquity in the advertisement greatly increases the likelihood of confusion as to sponsorship.</w:t>
      </w:r>
    </w:p>
    <w:p w14:paraId="0552E2A4" w14:textId="77777777" w:rsidR="00E10AB7" w:rsidRPr="002A2C7E" w:rsidRDefault="00E10AB7" w:rsidP="007B1E98">
      <w:pPr>
        <w:spacing w:after="0" w:line="240" w:lineRule="auto"/>
        <w:ind w:firstLine="720"/>
        <w:jc w:val="both"/>
        <w:rPr>
          <w:rFonts w:ascii="Century Schoolbook" w:eastAsia="Times New Roman" w:hAnsi="Century Schoolbook"/>
          <w:color w:val="000000"/>
          <w:bdr w:val="none" w:sz="0" w:space="0" w:color="auto" w:frame="1"/>
        </w:rPr>
      </w:pPr>
    </w:p>
    <w:p w14:paraId="57CD5224" w14:textId="77777777" w:rsidR="00E10AB7" w:rsidRPr="002A2C7E" w:rsidRDefault="00E10AB7" w:rsidP="007B1E98">
      <w:pPr>
        <w:keepNext/>
        <w:keepLines/>
        <w:spacing w:after="0" w:line="240" w:lineRule="auto"/>
        <w:ind w:firstLine="720"/>
        <w:jc w:val="both"/>
        <w:rPr>
          <w:rFonts w:ascii="Century Schoolbook" w:hAnsi="Century Schoolbook"/>
          <w:b/>
          <w:iCs/>
        </w:rPr>
      </w:pPr>
      <w:r w:rsidRPr="002A2C7E">
        <w:rPr>
          <w:rFonts w:ascii="Century Schoolbook" w:hAnsi="Century Schoolbook"/>
          <w:b/>
        </w:rPr>
        <w:t>C.</w:t>
      </w:r>
      <w:r w:rsidRPr="002A2C7E">
        <w:rPr>
          <w:rFonts w:ascii="Century Schoolbook" w:hAnsi="Century Schoolbook"/>
          <w:b/>
        </w:rPr>
        <w:tab/>
        <w:t xml:space="preserve">Appellee Might Claim Only Near-Exact Copying Is Protected by </w:t>
      </w:r>
      <w:r w:rsidRPr="002A2C7E">
        <w:rPr>
          <w:rFonts w:ascii="Century Schoolbook" w:hAnsi="Century Schoolbook"/>
          <w:b/>
        </w:rPr>
        <w:tab/>
      </w:r>
      <w:r w:rsidRPr="002A2C7E">
        <w:rPr>
          <w:rFonts w:ascii="Century Schoolbook" w:hAnsi="Century Schoolbook"/>
          <w:b/>
        </w:rPr>
        <w:tab/>
      </w:r>
      <w:proofErr w:type="spellStart"/>
      <w:r w:rsidRPr="002A2C7E">
        <w:rPr>
          <w:rFonts w:ascii="Century Schoolbook" w:hAnsi="Century Schoolbook"/>
          <w:b/>
          <w:i/>
        </w:rPr>
        <w:t>Dastar</w:t>
      </w:r>
      <w:proofErr w:type="spellEnd"/>
      <w:r w:rsidRPr="002A2C7E">
        <w:rPr>
          <w:rFonts w:ascii="Century Schoolbook" w:hAnsi="Century Schoolbook"/>
          <w:b/>
          <w:iCs/>
        </w:rPr>
        <w:t>.</w:t>
      </w:r>
    </w:p>
    <w:p w14:paraId="7AD5217E" w14:textId="77777777" w:rsidR="00E10AB7" w:rsidRPr="002A2C7E" w:rsidRDefault="00E10AB7" w:rsidP="007B1E98">
      <w:pPr>
        <w:keepNext/>
        <w:keepLines/>
        <w:spacing w:after="0" w:line="240" w:lineRule="auto"/>
        <w:ind w:firstLine="720"/>
        <w:jc w:val="both"/>
        <w:rPr>
          <w:rFonts w:ascii="Century Schoolbook" w:hAnsi="Century Schoolbook"/>
          <w:b/>
        </w:rPr>
      </w:pPr>
    </w:p>
    <w:p w14:paraId="5D72C69F" w14:textId="77777777" w:rsidR="00E10AB7" w:rsidRPr="002A2C7E" w:rsidRDefault="00E10AB7" w:rsidP="007B1E98">
      <w:pPr>
        <w:spacing w:after="0" w:line="240" w:lineRule="auto"/>
        <w:jc w:val="both"/>
        <w:rPr>
          <w:rFonts w:ascii="Century Schoolbook" w:hAnsi="Century Schoolbook"/>
        </w:rPr>
      </w:pPr>
      <w:r w:rsidRPr="002A2C7E">
        <w:rPr>
          <w:rFonts w:ascii="Century Schoolbook" w:hAnsi="Century Schoolbook"/>
        </w:rPr>
        <w:tab/>
        <w:t xml:space="preserve">Finally, Appellee might say that the </w:t>
      </w:r>
      <w:proofErr w:type="spellStart"/>
      <w:r w:rsidRPr="002A2C7E">
        <w:rPr>
          <w:rFonts w:ascii="Century Schoolbook" w:hAnsi="Century Schoolbook"/>
          <w:i/>
        </w:rPr>
        <w:t>Dastar</w:t>
      </w:r>
      <w:proofErr w:type="spellEnd"/>
      <w:r w:rsidRPr="002A2C7E">
        <w:rPr>
          <w:rFonts w:ascii="Century Schoolbook" w:hAnsi="Century Schoolbook"/>
        </w:rPr>
        <w:t xml:space="preserve"> exception to trademark liability only applies to near exact reproductions of the public domain material. Because the material was meaningfully altered by Appellant, Appellee would say there should be trademark liability. Like the District Court, Appellee might frame the </w:t>
      </w:r>
      <w:proofErr w:type="spellStart"/>
      <w:r w:rsidRPr="002A2C7E">
        <w:rPr>
          <w:rFonts w:ascii="Century Schoolbook" w:hAnsi="Century Schoolbook"/>
          <w:i/>
        </w:rPr>
        <w:t>Dastar</w:t>
      </w:r>
      <w:proofErr w:type="spellEnd"/>
      <w:r w:rsidRPr="002A2C7E">
        <w:rPr>
          <w:rFonts w:ascii="Century Schoolbook" w:hAnsi="Century Schoolbook"/>
          <w:i/>
        </w:rPr>
        <w:t xml:space="preserve"> </w:t>
      </w:r>
      <w:r w:rsidRPr="002A2C7E">
        <w:rPr>
          <w:rFonts w:ascii="Century Schoolbook" w:hAnsi="Century Schoolbook"/>
        </w:rPr>
        <w:t xml:space="preserve">exception as creating a safe harbor, and that the inquiry is if Appellant’s actions fall within this narrowly defined safe harbor. </w:t>
      </w:r>
    </w:p>
    <w:p w14:paraId="173AB8AD" w14:textId="77777777" w:rsidR="00E10AB7" w:rsidRPr="002A2C7E" w:rsidRDefault="00E10AB7" w:rsidP="007B1E98">
      <w:pPr>
        <w:spacing w:after="0" w:line="240" w:lineRule="auto"/>
        <w:jc w:val="both"/>
        <w:rPr>
          <w:rFonts w:ascii="Century Schoolbook" w:hAnsi="Century Schoolbook"/>
        </w:rPr>
      </w:pPr>
    </w:p>
    <w:p w14:paraId="42CB8270" w14:textId="2535B12C" w:rsidR="00E10AB7" w:rsidRPr="002A2C7E" w:rsidRDefault="00E10AB7" w:rsidP="007B1E98">
      <w:pPr>
        <w:spacing w:after="0" w:line="240" w:lineRule="auto"/>
        <w:jc w:val="both"/>
        <w:rPr>
          <w:rFonts w:ascii="Century Schoolbook" w:hAnsi="Century Schoolbook"/>
          <w:iCs/>
        </w:rPr>
      </w:pPr>
      <w:r w:rsidRPr="002A2C7E">
        <w:rPr>
          <w:rFonts w:ascii="Century Schoolbook" w:hAnsi="Century Schoolbook"/>
        </w:rPr>
        <w:tab/>
        <w:t xml:space="preserve">This argument stems from </w:t>
      </w:r>
      <w:proofErr w:type="spellStart"/>
      <w:r w:rsidRPr="002A2C7E">
        <w:rPr>
          <w:rFonts w:ascii="Century Schoolbook" w:hAnsi="Century Schoolbook"/>
          <w:i/>
        </w:rPr>
        <w:t>Dastar</w:t>
      </w:r>
      <w:proofErr w:type="spellEnd"/>
      <w:r w:rsidRPr="002A2C7E">
        <w:rPr>
          <w:rFonts w:ascii="Century Schoolbook" w:hAnsi="Century Schoolbook"/>
        </w:rPr>
        <w:t xml:space="preserve"> discussing a right to “copy” but not a right to create derivative works. </w:t>
      </w:r>
      <w:proofErr w:type="spellStart"/>
      <w:r w:rsidRPr="002A2C7E">
        <w:rPr>
          <w:rFonts w:ascii="Century Schoolbook" w:hAnsi="Century Schoolbook"/>
          <w:i/>
          <w:iCs/>
        </w:rPr>
        <w:t>Dastar</w:t>
      </w:r>
      <w:proofErr w:type="spellEnd"/>
      <w:r w:rsidRPr="002A2C7E">
        <w:rPr>
          <w:rFonts w:ascii="Century Schoolbook" w:hAnsi="Century Schoolbook"/>
          <w:i/>
          <w:iCs/>
        </w:rPr>
        <w:t xml:space="preserve"> Corp</w:t>
      </w:r>
      <w:r w:rsidRPr="002A2C7E">
        <w:rPr>
          <w:rFonts w:ascii="Century Schoolbook" w:hAnsi="Century Schoolbook"/>
        </w:rPr>
        <w:t xml:space="preserve">., 539 U.S. at 34. Copyright law distinguishes the creation of “copies” and the creation of “derivative works.” 17 U.S.C § 106. The D.C. Circuit seems to endorse this understanding of </w:t>
      </w:r>
      <w:proofErr w:type="spellStart"/>
      <w:r w:rsidRPr="002A2C7E">
        <w:rPr>
          <w:rFonts w:ascii="Century Schoolbook" w:hAnsi="Century Schoolbook"/>
          <w:i/>
        </w:rPr>
        <w:t>Dastar</w:t>
      </w:r>
      <w:proofErr w:type="spellEnd"/>
      <w:r w:rsidRPr="002A2C7E">
        <w:rPr>
          <w:rFonts w:ascii="Century Schoolbook" w:hAnsi="Century Schoolbook"/>
          <w:i/>
        </w:rPr>
        <w:t>. Am. Soc</w:t>
      </w:r>
      <w:r w:rsidR="006D63F6">
        <w:rPr>
          <w:rFonts w:ascii="Century Schoolbook" w:hAnsi="Century Schoolbook"/>
          <w:i/>
        </w:rPr>
        <w:t>’</w:t>
      </w:r>
      <w:r w:rsidRPr="002A2C7E">
        <w:rPr>
          <w:rFonts w:ascii="Century Schoolbook" w:hAnsi="Century Schoolbook"/>
          <w:i/>
        </w:rPr>
        <w:t xml:space="preserve">y for Testing &amp; Materials v. </w:t>
      </w:r>
      <w:proofErr w:type="gramStart"/>
      <w:r w:rsidRPr="002A2C7E">
        <w:rPr>
          <w:rFonts w:ascii="Century Schoolbook" w:hAnsi="Century Schoolbook"/>
          <w:i/>
        </w:rPr>
        <w:t>Public.Resource.Org</w:t>
      </w:r>
      <w:proofErr w:type="gramEnd"/>
      <w:r w:rsidRPr="002A2C7E">
        <w:rPr>
          <w:rFonts w:ascii="Century Schoolbook" w:hAnsi="Century Schoolbook"/>
          <w:i/>
        </w:rPr>
        <w:t>, Inc.</w:t>
      </w:r>
      <w:r w:rsidRPr="002A2C7E">
        <w:rPr>
          <w:rFonts w:ascii="Century Schoolbook" w:hAnsi="Century Schoolbook"/>
        </w:rPr>
        <w:t xml:space="preserve">, 896 F.3d 437, 455 (D.C. Cir. 2018). In </w:t>
      </w:r>
      <w:proofErr w:type="gramStart"/>
      <w:r w:rsidRPr="002A2C7E">
        <w:rPr>
          <w:rFonts w:ascii="Century Schoolbook" w:hAnsi="Century Schoolbook"/>
          <w:i/>
        </w:rPr>
        <w:t>Public.Resource.Org</w:t>
      </w:r>
      <w:proofErr w:type="gramEnd"/>
      <w:r w:rsidRPr="002A2C7E">
        <w:rPr>
          <w:rFonts w:ascii="Century Schoolbook" w:hAnsi="Century Schoolbook"/>
        </w:rPr>
        <w:t xml:space="preserve">, the D.C. Circuit found trademark infringement for scanning and retyping technical standards that the plaintiff owned under copyright. </w:t>
      </w:r>
      <w:r w:rsidRPr="002A2C7E">
        <w:rPr>
          <w:rFonts w:ascii="Century Schoolbook" w:hAnsi="Century Schoolbook"/>
          <w:i/>
        </w:rPr>
        <w:t xml:space="preserve">Id. </w:t>
      </w:r>
      <w:r w:rsidRPr="002A2C7E">
        <w:rPr>
          <w:rFonts w:ascii="Century Schoolbook" w:hAnsi="Century Schoolbook"/>
        </w:rPr>
        <w:t>at 444</w:t>
      </w:r>
      <w:r w:rsidRPr="002A2C7E">
        <w:rPr>
          <w:rStyle w:val="CommentReference"/>
          <w:rFonts w:ascii="Century Schoolbook" w:hAnsi="Century Schoolbook"/>
        </w:rPr>
        <w:t>.</w:t>
      </w:r>
      <w:r w:rsidRPr="002A2C7E">
        <w:rPr>
          <w:rFonts w:ascii="Century Schoolbook" w:hAnsi="Century Schoolbook"/>
        </w:rPr>
        <w:t xml:space="preserve"> Because what the defendant had uploaded were reproductions with “errors and differences,” the D.C. Circuit said </w:t>
      </w:r>
      <w:proofErr w:type="spellStart"/>
      <w:r w:rsidRPr="002A2C7E">
        <w:rPr>
          <w:rFonts w:ascii="Century Schoolbook" w:hAnsi="Century Schoolbook"/>
          <w:i/>
        </w:rPr>
        <w:t>Dastar</w:t>
      </w:r>
      <w:proofErr w:type="spellEnd"/>
      <w:r w:rsidRPr="002A2C7E">
        <w:rPr>
          <w:rFonts w:ascii="Century Schoolbook" w:hAnsi="Century Schoolbook"/>
        </w:rPr>
        <w:t xml:space="preserve"> did not bar the trademark claim which might otherwise have been barred if the defendant were “accused of reproducing identical copies of ASTM’s standards.” </w:t>
      </w:r>
      <w:r w:rsidRPr="002A2C7E">
        <w:rPr>
          <w:rFonts w:ascii="Century Schoolbook" w:hAnsi="Century Schoolbook"/>
          <w:i/>
        </w:rPr>
        <w:t>Id</w:t>
      </w:r>
      <w:r w:rsidRPr="002A2C7E">
        <w:rPr>
          <w:rFonts w:ascii="Century Schoolbook" w:hAnsi="Century Schoolbook"/>
        </w:rPr>
        <w:t>. at 455. The court noted that</w:t>
      </w:r>
      <w:r w:rsidRPr="002A2C7E">
        <w:rPr>
          <w:rFonts w:ascii="Century Schoolbook" w:hAnsi="Century Schoolbook"/>
          <w:color w:val="3D3D3D"/>
          <w:bdr w:val="none" w:sz="0" w:space="0" w:color="auto" w:frame="1"/>
        </w:rPr>
        <w:t xml:space="preserve"> “[</w:t>
      </w:r>
      <w:proofErr w:type="spellStart"/>
      <w:r w:rsidRPr="002A2C7E">
        <w:rPr>
          <w:rFonts w:ascii="Century Schoolbook" w:hAnsi="Century Schoolbook"/>
          <w:color w:val="3D3D3D"/>
          <w:bdr w:val="none" w:sz="0" w:space="0" w:color="auto" w:frame="1"/>
        </w:rPr>
        <w:t>i</w:t>
      </w:r>
      <w:proofErr w:type="spellEnd"/>
      <w:r w:rsidRPr="002A2C7E">
        <w:rPr>
          <w:rFonts w:ascii="Century Schoolbook" w:hAnsi="Century Schoolbook"/>
          <w:color w:val="3D3D3D"/>
          <w:bdr w:val="none" w:sz="0" w:space="0" w:color="auto" w:frame="1"/>
        </w:rPr>
        <w:t>]</w:t>
      </w:r>
      <w:r w:rsidRPr="002A2C7E">
        <w:rPr>
          <w:rFonts w:ascii="Century Schoolbook" w:hAnsi="Century Schoolbook"/>
        </w:rPr>
        <w:t>t is perhaps unsurprising, then, that the post-</w:t>
      </w:r>
      <w:proofErr w:type="spellStart"/>
      <w:r w:rsidRPr="002A2C7E">
        <w:rPr>
          <w:rFonts w:ascii="Century Schoolbook" w:hAnsi="Century Schoolbook"/>
          <w:i/>
          <w:iCs/>
        </w:rPr>
        <w:t>Dastar</w:t>
      </w:r>
      <w:proofErr w:type="spellEnd"/>
      <w:r w:rsidRPr="002A2C7E">
        <w:rPr>
          <w:rFonts w:ascii="Century Schoolbook" w:hAnsi="Century Schoolbook"/>
          <w:i/>
          <w:iCs/>
        </w:rPr>
        <w:t xml:space="preserve"> </w:t>
      </w:r>
      <w:r w:rsidRPr="002A2C7E">
        <w:rPr>
          <w:rFonts w:ascii="Century Schoolbook" w:hAnsi="Century Schoolbook"/>
        </w:rPr>
        <w:t>cases where courts have found trademark claims foreclosed involved instances of virtually identical copies.</w:t>
      </w:r>
      <w:r w:rsidRPr="002A2C7E">
        <w:rPr>
          <w:rFonts w:ascii="Century Schoolbook" w:hAnsi="Century Schoolbook"/>
          <w:iCs/>
        </w:rPr>
        <w:t xml:space="preserve">” </w:t>
      </w:r>
      <w:r w:rsidRPr="002A2C7E">
        <w:rPr>
          <w:rFonts w:ascii="Century Schoolbook" w:hAnsi="Century Schoolbook"/>
          <w:i/>
          <w:iCs/>
        </w:rPr>
        <w:t>Id</w:t>
      </w:r>
      <w:r w:rsidRPr="002A2C7E">
        <w:rPr>
          <w:rFonts w:ascii="Century Schoolbook" w:hAnsi="Century Schoolbook"/>
          <w:iCs/>
        </w:rPr>
        <w:t xml:space="preserve">. The Eighth Circuit hinted at a similar understanding in </w:t>
      </w:r>
      <w:r w:rsidRPr="002A2C7E">
        <w:rPr>
          <w:rFonts w:ascii="Century Schoolbook" w:hAnsi="Century Schoolbook"/>
          <w:i/>
          <w:iCs/>
        </w:rPr>
        <w:t>X One X</w:t>
      </w:r>
      <w:r w:rsidRPr="002A2C7E">
        <w:rPr>
          <w:rFonts w:ascii="Century Schoolbook" w:hAnsi="Century Schoolbook"/>
          <w:iCs/>
        </w:rPr>
        <w:t>, by pointing out that the injunction against the defendant</w:t>
      </w:r>
      <w:r w:rsidRPr="002A2C7E">
        <w:rPr>
          <w:rFonts w:ascii="Century Schoolbook" w:hAnsi="Century Schoolbook"/>
        </w:rPr>
        <w:t>—</w:t>
      </w:r>
      <w:r w:rsidRPr="002A2C7E">
        <w:rPr>
          <w:rFonts w:ascii="Century Schoolbook" w:hAnsi="Century Schoolbook"/>
          <w:iCs/>
        </w:rPr>
        <w:t>enjoining the defendant from reproducing public domain images on merchandise such as cups</w:t>
      </w:r>
      <w:r w:rsidRPr="002A2C7E">
        <w:rPr>
          <w:rFonts w:ascii="Century Schoolbook" w:hAnsi="Century Schoolbook"/>
        </w:rPr>
        <w:t>—</w:t>
      </w:r>
      <w:r w:rsidRPr="002A2C7E">
        <w:rPr>
          <w:rFonts w:ascii="Century Schoolbook" w:hAnsi="Century Schoolbook"/>
          <w:iCs/>
        </w:rPr>
        <w:t xml:space="preserve">was perfectly in compliance with </w:t>
      </w:r>
      <w:proofErr w:type="spellStart"/>
      <w:r w:rsidRPr="002A2C7E">
        <w:rPr>
          <w:rFonts w:ascii="Century Schoolbook" w:hAnsi="Century Schoolbook"/>
          <w:i/>
          <w:iCs/>
        </w:rPr>
        <w:t>Dastar</w:t>
      </w:r>
      <w:proofErr w:type="spellEnd"/>
      <w:r w:rsidRPr="002A2C7E">
        <w:rPr>
          <w:rFonts w:ascii="Century Schoolbook" w:hAnsi="Century Schoolbook"/>
          <w:iCs/>
        </w:rPr>
        <w:t xml:space="preserve"> because the injunction made “an exception for the reproduction of publicity materials in the public domain in their entirety and without alteration</w:t>
      </w:r>
      <w:r w:rsidRPr="002A2C7E">
        <w:rPr>
          <w:rFonts w:ascii="Century Schoolbook" w:hAnsi="Century Schoolbook"/>
          <w:i/>
          <w:iCs/>
        </w:rPr>
        <w:t>.</w:t>
      </w:r>
      <w:r w:rsidRPr="00F45A7D">
        <w:rPr>
          <w:rFonts w:ascii="Century Schoolbook" w:hAnsi="Century Schoolbook"/>
        </w:rPr>
        <w:t>”</w:t>
      </w:r>
      <w:r w:rsidRPr="002A2C7E">
        <w:rPr>
          <w:rFonts w:ascii="Century Schoolbook" w:hAnsi="Century Schoolbook"/>
          <w:i/>
          <w:iCs/>
        </w:rPr>
        <w:t xml:space="preserve"> X One X Prods.</w:t>
      </w:r>
      <w:r w:rsidRPr="002A2C7E">
        <w:rPr>
          <w:rFonts w:ascii="Century Schoolbook" w:hAnsi="Century Schoolbook"/>
          <w:iCs/>
        </w:rPr>
        <w:t>, 840 F.3d at 982.</w:t>
      </w:r>
    </w:p>
    <w:p w14:paraId="1457E85E" w14:textId="7FB6A092" w:rsidR="00E10AB7" w:rsidRDefault="00E10AB7" w:rsidP="007B1E98">
      <w:pPr>
        <w:spacing w:after="0" w:line="240" w:lineRule="auto"/>
        <w:jc w:val="both"/>
        <w:rPr>
          <w:rFonts w:ascii="Century Schoolbook" w:hAnsi="Century Schoolbook"/>
          <w:iCs/>
        </w:rPr>
      </w:pPr>
    </w:p>
    <w:p w14:paraId="1C3B05E4" w14:textId="77777777" w:rsidR="00550E19" w:rsidRPr="002A2C7E" w:rsidRDefault="00550E19" w:rsidP="007B1E98">
      <w:pPr>
        <w:spacing w:after="0" w:line="240" w:lineRule="auto"/>
        <w:jc w:val="both"/>
        <w:rPr>
          <w:rFonts w:ascii="Century Schoolbook" w:hAnsi="Century Schoolbook"/>
          <w:iCs/>
        </w:rPr>
      </w:pPr>
    </w:p>
    <w:p w14:paraId="0B7A2449" w14:textId="79C4D19F" w:rsidR="00E10AB7" w:rsidRPr="002A2C7E" w:rsidRDefault="00E10AB7" w:rsidP="007B1E98">
      <w:pPr>
        <w:spacing w:after="0" w:line="240" w:lineRule="auto"/>
        <w:jc w:val="both"/>
        <w:rPr>
          <w:rFonts w:ascii="Century Schoolbook" w:hAnsi="Century Schoolbook"/>
        </w:rPr>
      </w:pPr>
      <w:r w:rsidRPr="002A2C7E">
        <w:rPr>
          <w:rFonts w:ascii="Century Schoolbook" w:hAnsi="Century Schoolbook"/>
          <w:iCs/>
        </w:rPr>
        <w:lastRenderedPageBreak/>
        <w:tab/>
        <w:t xml:space="preserve">The argument that reproductions must be </w:t>
      </w:r>
      <w:r w:rsidRPr="002A2C7E">
        <w:rPr>
          <w:rFonts w:ascii="Century Schoolbook" w:hAnsi="Century Schoolbook"/>
          <w:i/>
          <w:iCs/>
        </w:rPr>
        <w:t xml:space="preserve">exact </w:t>
      </w:r>
      <w:r w:rsidRPr="002A2C7E">
        <w:rPr>
          <w:rFonts w:ascii="Century Schoolbook" w:hAnsi="Century Schoolbook"/>
        </w:rPr>
        <w:t>in order</w:t>
      </w:r>
      <w:r w:rsidRPr="002A2C7E">
        <w:rPr>
          <w:rFonts w:ascii="Century Schoolbook" w:hAnsi="Century Schoolbook"/>
          <w:iCs/>
        </w:rPr>
        <w:t xml:space="preserve"> to fall into the </w:t>
      </w:r>
      <w:proofErr w:type="spellStart"/>
      <w:r w:rsidRPr="002A2C7E">
        <w:rPr>
          <w:rFonts w:ascii="Century Schoolbook" w:hAnsi="Century Schoolbook"/>
          <w:i/>
          <w:iCs/>
        </w:rPr>
        <w:t>Dastar</w:t>
      </w:r>
      <w:proofErr w:type="spellEnd"/>
      <w:r w:rsidRPr="002A2C7E">
        <w:rPr>
          <w:rFonts w:ascii="Century Schoolbook" w:hAnsi="Century Schoolbook"/>
          <w:iCs/>
        </w:rPr>
        <w:t xml:space="preserve"> exception faces at least three hurdles that Appellant might point out. First, although copyright law distinguishes between creating derivative works and copying, the only important difference between the two is that the addition of the exclusive right to make derivative works expands the scope of liability. </w:t>
      </w:r>
      <w:r w:rsidRPr="002A2C7E">
        <w:rPr>
          <w:rFonts w:ascii="Century Schoolbook" w:hAnsi="Century Schoolbook"/>
          <w:i/>
          <w:iCs/>
        </w:rPr>
        <w:t>See</w:t>
      </w:r>
      <w:r w:rsidRPr="002A2C7E">
        <w:rPr>
          <w:rFonts w:ascii="Century Schoolbook" w:hAnsi="Century Schoolbook"/>
          <w:iCs/>
        </w:rPr>
        <w:t xml:space="preserve"> </w:t>
      </w:r>
      <w:r w:rsidRPr="002A2C7E">
        <w:rPr>
          <w:rFonts w:ascii="Century Schoolbook" w:hAnsi="Century Schoolbook"/>
        </w:rPr>
        <w:t>17 U.S.C</w:t>
      </w:r>
      <w:r w:rsidR="00001BD8">
        <w:rPr>
          <w:rFonts w:ascii="Century Schoolbook" w:hAnsi="Century Schoolbook"/>
        </w:rPr>
        <w:t xml:space="preserve"> </w:t>
      </w:r>
      <w:r w:rsidRPr="002A2C7E">
        <w:rPr>
          <w:rFonts w:ascii="Century Schoolbook" w:hAnsi="Century Schoolbook"/>
        </w:rPr>
        <w:t xml:space="preserve">§ 106 (subjecting derivative works and copies to the same limitations). Second, </w:t>
      </w:r>
      <w:proofErr w:type="spellStart"/>
      <w:r w:rsidRPr="002A2C7E">
        <w:rPr>
          <w:rFonts w:ascii="Century Schoolbook" w:hAnsi="Century Schoolbook"/>
          <w:i/>
        </w:rPr>
        <w:t>Dastar</w:t>
      </w:r>
      <w:proofErr w:type="spellEnd"/>
      <w:r w:rsidRPr="002A2C7E">
        <w:rPr>
          <w:rFonts w:ascii="Century Schoolbook" w:hAnsi="Century Schoolbook"/>
        </w:rPr>
        <w:t xml:space="preserve"> itself recognized the right to “copy and to </w:t>
      </w:r>
      <w:r w:rsidRPr="002A2C7E">
        <w:rPr>
          <w:rFonts w:ascii="Century Schoolbook" w:hAnsi="Century Schoolbook"/>
          <w:i/>
        </w:rPr>
        <w:t>use</w:t>
      </w:r>
      <w:r w:rsidRPr="002A2C7E">
        <w:rPr>
          <w:rFonts w:ascii="Century Schoolbook" w:hAnsi="Century Schoolbook"/>
        </w:rPr>
        <w:t xml:space="preserve">” public domain material. </w:t>
      </w:r>
      <w:proofErr w:type="spellStart"/>
      <w:r w:rsidRPr="002A2C7E">
        <w:rPr>
          <w:rFonts w:ascii="Century Schoolbook" w:hAnsi="Century Schoolbook"/>
          <w:i/>
        </w:rPr>
        <w:t>Dastar</w:t>
      </w:r>
      <w:proofErr w:type="spellEnd"/>
      <w:r w:rsidRPr="002A2C7E">
        <w:rPr>
          <w:rFonts w:ascii="Century Schoolbook" w:hAnsi="Century Schoolbook"/>
          <w:i/>
        </w:rPr>
        <w:t xml:space="preserve"> Corp.</w:t>
      </w:r>
      <w:r w:rsidRPr="002A2C7E">
        <w:rPr>
          <w:rFonts w:ascii="Century Schoolbook" w:hAnsi="Century Schoolbook"/>
        </w:rPr>
        <w:t>, 539 U.S. at 34 (emphasis added) (quoting</w:t>
      </w:r>
      <w:r w:rsidR="00C33356" w:rsidRPr="00C33356">
        <w:rPr>
          <w:rFonts w:ascii="Century Schoolbook" w:hAnsi="Century Schoolbook"/>
        </w:rPr>
        <w:t> </w:t>
      </w:r>
      <w:r w:rsidR="00C33356" w:rsidRPr="00C33356">
        <w:rPr>
          <w:rFonts w:ascii="Century Schoolbook" w:hAnsi="Century Schoolbook"/>
          <w:i/>
          <w:iCs/>
        </w:rPr>
        <w:t>Bonito Boats, Inc. v. Thunder Craft Boats, Inc.,</w:t>
      </w:r>
      <w:r w:rsidR="00C33356" w:rsidRPr="00C33356">
        <w:rPr>
          <w:rFonts w:ascii="Century Schoolbook" w:hAnsi="Century Schoolbook"/>
        </w:rPr>
        <w:t> 489 U.S. 141</w:t>
      </w:r>
      <w:r w:rsidRPr="002A2C7E">
        <w:rPr>
          <w:rFonts w:ascii="Century Schoolbook" w:hAnsi="Century Schoolbook"/>
        </w:rPr>
        <w:t xml:space="preserve">, 165 (1989)). Appellant will argue that “to use” covers all other exclusive rights listed in section 106 such as the rights to perform and distribute a work. 17 U.S.C § 106. Appellant will say that if those rights, which were all implicated in the above-mentioned cases, are included, there is no reason why the right to prepare derivative work would be the sole section 106 right that would not pass to the public upon expiration of the copyright. Third and finally, Appellant could raise the fact that </w:t>
      </w:r>
      <w:proofErr w:type="spellStart"/>
      <w:r w:rsidRPr="002A2C7E">
        <w:rPr>
          <w:rFonts w:ascii="Century Schoolbook" w:hAnsi="Century Schoolbook"/>
          <w:i/>
        </w:rPr>
        <w:t>Dastar</w:t>
      </w:r>
      <w:proofErr w:type="spellEnd"/>
      <w:r w:rsidRPr="002A2C7E">
        <w:rPr>
          <w:rFonts w:ascii="Century Schoolbook" w:hAnsi="Century Schoolbook"/>
        </w:rPr>
        <w:t xml:space="preserve"> itself involved a derivative work</w:t>
      </w:r>
      <w:r w:rsidRPr="002A2C7E">
        <w:rPr>
          <w:rFonts w:ascii="Century Schoolbook" w:hAnsi="Century Schoolbook"/>
          <w:i/>
        </w:rPr>
        <w:t xml:space="preserve">. </w:t>
      </w:r>
      <w:proofErr w:type="spellStart"/>
      <w:r w:rsidRPr="002A2C7E">
        <w:rPr>
          <w:rFonts w:ascii="Century Schoolbook" w:hAnsi="Century Schoolbook"/>
          <w:i/>
        </w:rPr>
        <w:t>Dastar</w:t>
      </w:r>
      <w:proofErr w:type="spellEnd"/>
      <w:r w:rsidRPr="002A2C7E">
        <w:rPr>
          <w:rFonts w:ascii="Century Schoolbook" w:hAnsi="Century Schoolbook"/>
          <w:i/>
        </w:rPr>
        <w:t xml:space="preserve"> Corp.</w:t>
      </w:r>
      <w:r w:rsidRPr="002A2C7E">
        <w:rPr>
          <w:rFonts w:ascii="Century Schoolbook" w:hAnsi="Century Schoolbook"/>
        </w:rPr>
        <w:t xml:space="preserve">, 539 U.S. at 26 (saying the defendant “edited the series”). The defendant in that case “substituted a new opening sequence, credit page, and final closing for those of the Crusade television series; inserted new chapter-title sequences and narrated chapter introductions; moved the ‘recap’ in the Crusade television series to the beginning and retitled it as a ‘preview’; and removed references to and images of the book.” </w:t>
      </w:r>
      <w:r w:rsidRPr="002A2C7E">
        <w:rPr>
          <w:rFonts w:ascii="Century Schoolbook" w:hAnsi="Century Schoolbook"/>
          <w:i/>
        </w:rPr>
        <w:t>Id</w:t>
      </w:r>
      <w:r w:rsidRPr="002A2C7E">
        <w:rPr>
          <w:rFonts w:ascii="Century Schoolbook" w:hAnsi="Century Schoolbook"/>
        </w:rPr>
        <w:t>.</w:t>
      </w:r>
    </w:p>
    <w:p w14:paraId="67CEB898" w14:textId="77777777" w:rsidR="00E10AB7" w:rsidRPr="00550E19" w:rsidRDefault="00E10AB7" w:rsidP="007B1E98">
      <w:pPr>
        <w:spacing w:after="0" w:line="240" w:lineRule="auto"/>
        <w:jc w:val="both"/>
        <w:rPr>
          <w:rFonts w:ascii="Century Schoolbook" w:hAnsi="Century Schoolbook"/>
        </w:rPr>
      </w:pPr>
    </w:p>
    <w:p w14:paraId="008C8247" w14:textId="1F5DC82F" w:rsidR="00E10AB7" w:rsidRDefault="00E10AB7" w:rsidP="007B1E98">
      <w:pPr>
        <w:spacing w:after="0" w:line="240" w:lineRule="auto"/>
        <w:jc w:val="both"/>
        <w:rPr>
          <w:rFonts w:ascii="Century Schoolbook" w:hAnsi="Century Schoolbook"/>
        </w:rPr>
      </w:pPr>
      <w:r w:rsidRPr="002A2C7E">
        <w:rPr>
          <w:rFonts w:ascii="Century Schoolbook" w:hAnsi="Century Schoolbook"/>
        </w:rPr>
        <w:tab/>
        <w:t xml:space="preserve">Appellee might argue that there should be a distinction between claims involving reverse passing off, which </w:t>
      </w:r>
      <w:proofErr w:type="spellStart"/>
      <w:r w:rsidRPr="002A2C7E">
        <w:rPr>
          <w:rFonts w:ascii="Century Schoolbook" w:hAnsi="Century Schoolbook"/>
          <w:i/>
        </w:rPr>
        <w:t>Dastar</w:t>
      </w:r>
      <w:proofErr w:type="spellEnd"/>
      <w:r w:rsidRPr="002A2C7E">
        <w:rPr>
          <w:rFonts w:ascii="Century Schoolbook" w:hAnsi="Century Schoolbook"/>
        </w:rPr>
        <w:t xml:space="preserve"> dealt with, and confusion over sponsorship, which Appellee is claiming and </w:t>
      </w:r>
      <w:proofErr w:type="gramStart"/>
      <w:r w:rsidRPr="002A2C7E">
        <w:rPr>
          <w:rFonts w:ascii="Century Schoolbook" w:hAnsi="Century Schoolbook"/>
          <w:i/>
        </w:rPr>
        <w:t>Public.Resource.Org</w:t>
      </w:r>
      <w:proofErr w:type="gramEnd"/>
      <w:r w:rsidRPr="002A2C7E">
        <w:rPr>
          <w:rFonts w:ascii="Century Schoolbook" w:hAnsi="Century Schoolbook"/>
        </w:rPr>
        <w:t xml:space="preserve"> dealt with. When dealing with reverse passing off of creative works, the supposed injury is lack of attribution, which the Supreme Court made clear in</w:t>
      </w:r>
      <w:r w:rsidRPr="002A2C7E">
        <w:rPr>
          <w:rFonts w:ascii="Century Schoolbook" w:hAnsi="Century Schoolbook"/>
          <w:i/>
        </w:rPr>
        <w:t xml:space="preserve"> </w:t>
      </w:r>
      <w:proofErr w:type="spellStart"/>
      <w:r w:rsidRPr="002A2C7E">
        <w:rPr>
          <w:rFonts w:ascii="Century Schoolbook" w:hAnsi="Century Schoolbook"/>
          <w:i/>
        </w:rPr>
        <w:t>Dastar</w:t>
      </w:r>
      <w:proofErr w:type="spellEnd"/>
      <w:r w:rsidRPr="002A2C7E">
        <w:rPr>
          <w:rFonts w:ascii="Century Schoolbook" w:hAnsi="Century Schoolbook"/>
        </w:rPr>
        <w:t xml:space="preserve"> is not a concern of trademark law. </w:t>
      </w:r>
      <w:proofErr w:type="spellStart"/>
      <w:r w:rsidRPr="002A2C7E">
        <w:rPr>
          <w:rFonts w:ascii="Century Schoolbook" w:hAnsi="Century Schoolbook"/>
          <w:i/>
        </w:rPr>
        <w:t>Dastar</w:t>
      </w:r>
      <w:proofErr w:type="spellEnd"/>
      <w:r w:rsidRPr="002A2C7E">
        <w:rPr>
          <w:rFonts w:ascii="Century Schoolbook" w:hAnsi="Century Schoolbook"/>
          <w:i/>
        </w:rPr>
        <w:t xml:space="preserve"> Corp.</w:t>
      </w:r>
      <w:r w:rsidRPr="002A2C7E">
        <w:rPr>
          <w:rFonts w:ascii="Century Schoolbook" w:hAnsi="Century Schoolbook"/>
        </w:rPr>
        <w:t xml:space="preserve">, 539 U.S. at 33. However, when dealing with confusion as to sponsorship, one possible injury is </w:t>
      </w:r>
      <w:r w:rsidRPr="002A2C7E">
        <w:rPr>
          <w:rFonts w:ascii="Century Schoolbook" w:hAnsi="Century Schoolbook"/>
          <w:i/>
        </w:rPr>
        <w:t>misattribution</w:t>
      </w:r>
      <w:r w:rsidRPr="002A2C7E">
        <w:rPr>
          <w:rFonts w:ascii="Century Schoolbook" w:hAnsi="Century Schoolbook"/>
        </w:rPr>
        <w:t xml:space="preserve"> of an inferior product, which is possible if the work is derivative instead of a nearly exact replica.</w:t>
      </w:r>
      <w:r w:rsidRPr="002A2C7E">
        <w:rPr>
          <w:rFonts w:ascii="Century Schoolbook" w:hAnsi="Century Schoolbook"/>
          <w:iCs/>
        </w:rPr>
        <w:t xml:space="preserve"> </w:t>
      </w:r>
      <w:proofErr w:type="gramStart"/>
      <w:r w:rsidRPr="002A2C7E">
        <w:rPr>
          <w:rFonts w:ascii="Century Schoolbook" w:hAnsi="Century Schoolbook"/>
          <w:i/>
        </w:rPr>
        <w:t>Public.Resource.Org</w:t>
      </w:r>
      <w:proofErr w:type="gramEnd"/>
      <w:r w:rsidRPr="002A2C7E">
        <w:rPr>
          <w:rFonts w:ascii="Century Schoolbook" w:hAnsi="Century Schoolbook"/>
        </w:rPr>
        <w:t>, 896 F.3d at 455 (calling distribution of “meaningfully inferior versions” of a work “a cognizable injury under the Lanham Act”). Thus, if the claim is reverse passing off, there may be more leeway to allow alterations. But when the claim is confusion over sponsorship, as it is here, it may make more sense to only allow near-exact reproductions. This argument could be framed as: because the trademark injury is different in sponsorship cases as opposed to reverse passing off cases, Appellant is not making a disguised copyright claim in this case.</w:t>
      </w:r>
    </w:p>
    <w:p w14:paraId="6BD56A12" w14:textId="75531AD0" w:rsidR="00550E19" w:rsidRDefault="00550E19" w:rsidP="007B1E98">
      <w:pPr>
        <w:spacing w:after="0" w:line="240" w:lineRule="auto"/>
        <w:jc w:val="both"/>
        <w:rPr>
          <w:rFonts w:ascii="Century Schoolbook" w:hAnsi="Century Schoolbook"/>
        </w:rPr>
      </w:pPr>
    </w:p>
    <w:p w14:paraId="10389B85" w14:textId="66B2FDD4" w:rsidR="00550E19" w:rsidRDefault="00550E19" w:rsidP="007B1E98">
      <w:pPr>
        <w:spacing w:after="0" w:line="240" w:lineRule="auto"/>
        <w:jc w:val="both"/>
        <w:rPr>
          <w:rFonts w:ascii="Century Schoolbook" w:hAnsi="Century Schoolbook"/>
        </w:rPr>
      </w:pPr>
    </w:p>
    <w:p w14:paraId="7BC096E9" w14:textId="266A743D" w:rsidR="00550E19" w:rsidRDefault="00550E19" w:rsidP="007B1E98">
      <w:pPr>
        <w:spacing w:after="0" w:line="240" w:lineRule="auto"/>
        <w:jc w:val="both"/>
        <w:rPr>
          <w:rFonts w:ascii="Century Schoolbook" w:hAnsi="Century Schoolbook"/>
        </w:rPr>
      </w:pPr>
    </w:p>
    <w:p w14:paraId="5CFA0AEB" w14:textId="7F81D380" w:rsidR="00550E19" w:rsidRDefault="00550E19" w:rsidP="007B1E98">
      <w:pPr>
        <w:spacing w:after="0" w:line="240" w:lineRule="auto"/>
        <w:jc w:val="both"/>
        <w:rPr>
          <w:rFonts w:ascii="Century Schoolbook" w:hAnsi="Century Schoolbook"/>
        </w:rPr>
      </w:pPr>
    </w:p>
    <w:p w14:paraId="329BD88D" w14:textId="1FCF673A" w:rsidR="00550E19" w:rsidRDefault="00550E19" w:rsidP="007B1E98">
      <w:pPr>
        <w:spacing w:after="0" w:line="240" w:lineRule="auto"/>
        <w:jc w:val="both"/>
        <w:rPr>
          <w:rFonts w:ascii="Century Schoolbook" w:hAnsi="Century Schoolbook"/>
        </w:rPr>
      </w:pPr>
    </w:p>
    <w:p w14:paraId="72B7D2EA" w14:textId="112359B7" w:rsidR="00550E19" w:rsidRDefault="00550E19" w:rsidP="007B1E98">
      <w:pPr>
        <w:spacing w:after="0" w:line="240" w:lineRule="auto"/>
        <w:jc w:val="both"/>
        <w:rPr>
          <w:rFonts w:ascii="Century Schoolbook" w:hAnsi="Century Schoolbook"/>
        </w:rPr>
      </w:pPr>
    </w:p>
    <w:p w14:paraId="14357AF4" w14:textId="62BAA254" w:rsidR="00550E19" w:rsidRDefault="00550E19" w:rsidP="007B1E98">
      <w:pPr>
        <w:spacing w:after="0" w:line="240" w:lineRule="auto"/>
        <w:jc w:val="both"/>
        <w:rPr>
          <w:rFonts w:ascii="Century Schoolbook" w:hAnsi="Century Schoolbook"/>
        </w:rPr>
      </w:pPr>
    </w:p>
    <w:p w14:paraId="2CF2597E" w14:textId="77777777" w:rsidR="00550E19" w:rsidRPr="002A2C7E" w:rsidRDefault="00550E19" w:rsidP="007B1E98">
      <w:pPr>
        <w:spacing w:after="0" w:line="240" w:lineRule="auto"/>
        <w:jc w:val="both"/>
        <w:rPr>
          <w:rFonts w:ascii="Century Schoolbook" w:hAnsi="Century Schoolbook"/>
        </w:rPr>
      </w:pPr>
    </w:p>
    <w:p w14:paraId="296E9637" w14:textId="77777777" w:rsidR="00E10AB7" w:rsidRPr="00550E19" w:rsidRDefault="00E10AB7" w:rsidP="007B1E98">
      <w:pPr>
        <w:spacing w:after="0" w:line="240" w:lineRule="auto"/>
        <w:jc w:val="both"/>
        <w:rPr>
          <w:rFonts w:ascii="Century Schoolbook" w:hAnsi="Century Schoolbook"/>
          <w:sz w:val="16"/>
          <w:szCs w:val="16"/>
        </w:rPr>
      </w:pPr>
    </w:p>
    <w:p w14:paraId="12858D35" w14:textId="118C1AD8" w:rsidR="00E10AB7" w:rsidRPr="002A2C7E" w:rsidRDefault="00B30AC2" w:rsidP="007B1E98">
      <w:pPr>
        <w:keepNext/>
        <w:keepLines/>
        <w:spacing w:after="0" w:line="240" w:lineRule="auto"/>
        <w:jc w:val="center"/>
        <w:rPr>
          <w:rFonts w:ascii="Century Schoolbook" w:hAnsi="Century Schoolbook"/>
          <w:b/>
          <w:u w:val="single"/>
        </w:rPr>
      </w:pPr>
      <w:r w:rsidRPr="002A2C7E">
        <w:rPr>
          <w:rFonts w:ascii="Century Schoolbook" w:hAnsi="Century Schoolbook"/>
          <w:b/>
          <w:u w:val="single"/>
        </w:rPr>
        <w:lastRenderedPageBreak/>
        <w:t>CONCLUSION</w:t>
      </w:r>
    </w:p>
    <w:p w14:paraId="2886E556" w14:textId="77777777" w:rsidR="00E10AB7" w:rsidRPr="00550E19" w:rsidRDefault="00E10AB7" w:rsidP="007B1E98">
      <w:pPr>
        <w:spacing w:after="0" w:line="240" w:lineRule="auto"/>
        <w:jc w:val="both"/>
        <w:rPr>
          <w:rFonts w:ascii="Century Schoolbook" w:hAnsi="Century Schoolbook"/>
        </w:rPr>
      </w:pPr>
    </w:p>
    <w:p w14:paraId="7984E029" w14:textId="685FFC9B" w:rsidR="001E55BF" w:rsidRDefault="00E10AB7" w:rsidP="008F640F">
      <w:pPr>
        <w:spacing w:after="0" w:line="240" w:lineRule="auto"/>
        <w:rPr>
          <w:rFonts w:ascii="Century Schoolbook" w:hAnsi="Century Schoolbook"/>
        </w:rPr>
      </w:pPr>
      <w:r w:rsidRPr="002A2C7E">
        <w:rPr>
          <w:rFonts w:ascii="Century Schoolbook" w:hAnsi="Century Schoolbook"/>
        </w:rPr>
        <w:tab/>
        <w:t xml:space="preserve">Trademarks have their own purposes, and, on its face, the Lanham Act gives no reason to treat a trademark differently once a related copyright expires. On the other hand, it is also perfectly clear that a work entering the public domain is a principle design feature of </w:t>
      </w:r>
      <w:proofErr w:type="gramStart"/>
      <w:r w:rsidRPr="002A2C7E">
        <w:rPr>
          <w:rFonts w:ascii="Century Schoolbook" w:hAnsi="Century Schoolbook"/>
        </w:rPr>
        <w:t>copyrights, and</w:t>
      </w:r>
      <w:proofErr w:type="gramEnd"/>
      <w:r w:rsidRPr="002A2C7E">
        <w:rPr>
          <w:rFonts w:ascii="Century Schoolbook" w:hAnsi="Century Schoolbook"/>
        </w:rPr>
        <w:t xml:space="preserve"> allowing the trademark to exist and prevent Appellant from using the public domain work in this particular manner harms that important policy objective. While </w:t>
      </w:r>
      <w:proofErr w:type="spellStart"/>
      <w:r w:rsidRPr="002A2C7E">
        <w:rPr>
          <w:rFonts w:ascii="Century Schoolbook" w:hAnsi="Century Schoolbook"/>
          <w:i/>
        </w:rPr>
        <w:t>Dastar</w:t>
      </w:r>
      <w:proofErr w:type="spellEnd"/>
      <w:r w:rsidRPr="002A2C7E">
        <w:rPr>
          <w:rFonts w:ascii="Century Schoolbook" w:hAnsi="Century Schoolbook"/>
        </w:rPr>
        <w:t xml:space="preserve"> has language which, on its face, strongly favors Appellant, the limited nature of its direct holding and the holdings of lower courts make the applicability of </w:t>
      </w:r>
      <w:proofErr w:type="spellStart"/>
      <w:r w:rsidRPr="002A2C7E">
        <w:rPr>
          <w:rFonts w:ascii="Century Schoolbook" w:hAnsi="Century Schoolbook"/>
          <w:i/>
        </w:rPr>
        <w:t>Dastar</w:t>
      </w:r>
      <w:proofErr w:type="spellEnd"/>
      <w:r w:rsidRPr="002A2C7E">
        <w:rPr>
          <w:rFonts w:ascii="Century Schoolbook" w:hAnsi="Century Schoolbook"/>
        </w:rPr>
        <w:t xml:space="preserve"> uncertain</w:t>
      </w:r>
      <w:r w:rsidR="00735628">
        <w:rPr>
          <w:rFonts w:ascii="Century Schoolbook" w:hAnsi="Century Schoolbook"/>
        </w:rPr>
        <w:t>.</w:t>
      </w:r>
    </w:p>
    <w:p w14:paraId="456AAB3D" w14:textId="28381057" w:rsidR="00550E19" w:rsidRDefault="00550E19" w:rsidP="008F640F">
      <w:pPr>
        <w:spacing w:after="0" w:line="240" w:lineRule="auto"/>
        <w:rPr>
          <w:rFonts w:ascii="Century Schoolbook" w:hAnsi="Century Schoolbook"/>
        </w:rPr>
      </w:pPr>
    </w:p>
    <w:p w14:paraId="09D79088" w14:textId="2DD06A5A" w:rsidR="00550E19" w:rsidRDefault="00550E19" w:rsidP="008F640F">
      <w:pPr>
        <w:spacing w:after="0" w:line="240" w:lineRule="auto"/>
        <w:rPr>
          <w:rFonts w:ascii="Century Schoolbook" w:hAnsi="Century Schoolbook"/>
        </w:rPr>
      </w:pPr>
    </w:p>
    <w:p w14:paraId="2F8CDA55" w14:textId="49A0CE56" w:rsidR="00550E19" w:rsidRDefault="00550E19" w:rsidP="008F640F">
      <w:pPr>
        <w:spacing w:after="0" w:line="240" w:lineRule="auto"/>
        <w:rPr>
          <w:rFonts w:ascii="Century Schoolbook" w:hAnsi="Century Schoolbook"/>
        </w:rPr>
      </w:pPr>
    </w:p>
    <w:p w14:paraId="3918A2D1" w14:textId="012B0325" w:rsidR="00550E19" w:rsidRDefault="00550E19" w:rsidP="008F640F">
      <w:pPr>
        <w:spacing w:after="0" w:line="240" w:lineRule="auto"/>
        <w:rPr>
          <w:rFonts w:ascii="Century Schoolbook" w:hAnsi="Century Schoolbook"/>
        </w:rPr>
      </w:pPr>
    </w:p>
    <w:p w14:paraId="6A246666" w14:textId="11794D98" w:rsidR="00550E19" w:rsidRDefault="00550E19" w:rsidP="008F640F">
      <w:pPr>
        <w:spacing w:after="0" w:line="240" w:lineRule="auto"/>
        <w:rPr>
          <w:rFonts w:ascii="Century Schoolbook" w:hAnsi="Century Schoolbook"/>
        </w:rPr>
      </w:pPr>
    </w:p>
    <w:p w14:paraId="75A28CCB" w14:textId="78003A02" w:rsidR="00550E19" w:rsidRDefault="00550E19" w:rsidP="008F640F">
      <w:pPr>
        <w:spacing w:after="0" w:line="240" w:lineRule="auto"/>
        <w:rPr>
          <w:rFonts w:ascii="Century Schoolbook" w:hAnsi="Century Schoolbook"/>
        </w:rPr>
      </w:pPr>
    </w:p>
    <w:p w14:paraId="3BBE5F14" w14:textId="115261F4" w:rsidR="00550E19" w:rsidRDefault="00550E19" w:rsidP="008F640F">
      <w:pPr>
        <w:spacing w:after="0" w:line="240" w:lineRule="auto"/>
        <w:rPr>
          <w:rFonts w:ascii="Century Schoolbook" w:hAnsi="Century Schoolbook"/>
        </w:rPr>
      </w:pPr>
    </w:p>
    <w:p w14:paraId="20847F65" w14:textId="1618108C" w:rsidR="00550E19" w:rsidRDefault="00550E19" w:rsidP="008F640F">
      <w:pPr>
        <w:spacing w:after="0" w:line="240" w:lineRule="auto"/>
        <w:rPr>
          <w:rFonts w:ascii="Century Schoolbook" w:hAnsi="Century Schoolbook"/>
        </w:rPr>
      </w:pPr>
    </w:p>
    <w:p w14:paraId="343F8FF2" w14:textId="0581FC87" w:rsidR="00550E19" w:rsidRDefault="00550E19" w:rsidP="008F640F">
      <w:pPr>
        <w:spacing w:after="0" w:line="240" w:lineRule="auto"/>
        <w:rPr>
          <w:rFonts w:ascii="Century Schoolbook" w:hAnsi="Century Schoolbook"/>
        </w:rPr>
      </w:pPr>
    </w:p>
    <w:p w14:paraId="66C170B3" w14:textId="260D82EF" w:rsidR="00550E19" w:rsidRDefault="00550E19" w:rsidP="008F640F">
      <w:pPr>
        <w:spacing w:after="0" w:line="240" w:lineRule="auto"/>
        <w:rPr>
          <w:rFonts w:ascii="Century Schoolbook" w:hAnsi="Century Schoolbook"/>
        </w:rPr>
      </w:pPr>
    </w:p>
    <w:p w14:paraId="6F64C09F" w14:textId="073E7DA4" w:rsidR="00550E19" w:rsidRDefault="00550E19" w:rsidP="008F640F">
      <w:pPr>
        <w:spacing w:after="0" w:line="240" w:lineRule="auto"/>
        <w:rPr>
          <w:rFonts w:ascii="Century Schoolbook" w:hAnsi="Century Schoolbook"/>
        </w:rPr>
      </w:pPr>
    </w:p>
    <w:p w14:paraId="0366A305" w14:textId="1388B143" w:rsidR="00550E19" w:rsidRDefault="00550E19" w:rsidP="008F640F">
      <w:pPr>
        <w:spacing w:after="0" w:line="240" w:lineRule="auto"/>
        <w:rPr>
          <w:rFonts w:ascii="Century Schoolbook" w:hAnsi="Century Schoolbook"/>
        </w:rPr>
      </w:pPr>
    </w:p>
    <w:p w14:paraId="7E0524E3" w14:textId="26651898" w:rsidR="00550E19" w:rsidRDefault="00550E19" w:rsidP="008F640F">
      <w:pPr>
        <w:spacing w:after="0" w:line="240" w:lineRule="auto"/>
        <w:rPr>
          <w:rFonts w:ascii="Century Schoolbook" w:hAnsi="Century Schoolbook"/>
        </w:rPr>
      </w:pPr>
    </w:p>
    <w:p w14:paraId="0F6D4A13" w14:textId="6EBF7FFC" w:rsidR="00550E19" w:rsidRDefault="00550E19" w:rsidP="008F640F">
      <w:pPr>
        <w:spacing w:after="0" w:line="240" w:lineRule="auto"/>
        <w:rPr>
          <w:rFonts w:ascii="Century Schoolbook" w:hAnsi="Century Schoolbook"/>
        </w:rPr>
      </w:pPr>
    </w:p>
    <w:p w14:paraId="439DD285" w14:textId="18A2086B" w:rsidR="00550E19" w:rsidRDefault="00550E19" w:rsidP="008F640F">
      <w:pPr>
        <w:spacing w:after="0" w:line="240" w:lineRule="auto"/>
        <w:rPr>
          <w:rFonts w:ascii="Century Schoolbook" w:hAnsi="Century Schoolbook"/>
        </w:rPr>
      </w:pPr>
    </w:p>
    <w:p w14:paraId="1B29AB05" w14:textId="2892907F" w:rsidR="00550E19" w:rsidRDefault="00550E19" w:rsidP="008F640F">
      <w:pPr>
        <w:spacing w:after="0" w:line="240" w:lineRule="auto"/>
        <w:rPr>
          <w:rFonts w:ascii="Century Schoolbook" w:hAnsi="Century Schoolbook"/>
        </w:rPr>
      </w:pPr>
    </w:p>
    <w:p w14:paraId="19BE1C06" w14:textId="2D45DB63" w:rsidR="00550E19" w:rsidRDefault="00550E19" w:rsidP="008F640F">
      <w:pPr>
        <w:spacing w:after="0" w:line="240" w:lineRule="auto"/>
        <w:rPr>
          <w:rFonts w:ascii="Century Schoolbook" w:hAnsi="Century Schoolbook"/>
        </w:rPr>
      </w:pPr>
    </w:p>
    <w:p w14:paraId="6BFE2A32" w14:textId="10A5BA13" w:rsidR="00550E19" w:rsidRDefault="00550E19" w:rsidP="008F640F">
      <w:pPr>
        <w:spacing w:after="0" w:line="240" w:lineRule="auto"/>
        <w:rPr>
          <w:rFonts w:ascii="Century Schoolbook" w:hAnsi="Century Schoolbook"/>
        </w:rPr>
      </w:pPr>
    </w:p>
    <w:p w14:paraId="40E032C2" w14:textId="74081DBB" w:rsidR="00550E19" w:rsidRDefault="00550E19" w:rsidP="008F640F">
      <w:pPr>
        <w:spacing w:after="0" w:line="240" w:lineRule="auto"/>
        <w:rPr>
          <w:rFonts w:ascii="Century Schoolbook" w:hAnsi="Century Schoolbook"/>
        </w:rPr>
      </w:pPr>
    </w:p>
    <w:p w14:paraId="7669864B" w14:textId="4951D2B9" w:rsidR="00550E19" w:rsidRDefault="00550E19" w:rsidP="008F640F">
      <w:pPr>
        <w:spacing w:after="0" w:line="240" w:lineRule="auto"/>
        <w:rPr>
          <w:rFonts w:ascii="Century Schoolbook" w:hAnsi="Century Schoolbook"/>
        </w:rPr>
      </w:pPr>
    </w:p>
    <w:p w14:paraId="630DD733" w14:textId="2505B11F" w:rsidR="00550E19" w:rsidRDefault="00550E19" w:rsidP="008F640F">
      <w:pPr>
        <w:spacing w:after="0" w:line="240" w:lineRule="auto"/>
        <w:rPr>
          <w:rFonts w:ascii="Century Schoolbook" w:hAnsi="Century Schoolbook"/>
        </w:rPr>
      </w:pPr>
    </w:p>
    <w:p w14:paraId="6668B3D2" w14:textId="59C77D04" w:rsidR="00550E19" w:rsidRDefault="00550E19" w:rsidP="008F640F">
      <w:pPr>
        <w:spacing w:after="0" w:line="240" w:lineRule="auto"/>
        <w:rPr>
          <w:rFonts w:ascii="Century Schoolbook" w:hAnsi="Century Schoolbook"/>
        </w:rPr>
      </w:pPr>
    </w:p>
    <w:p w14:paraId="5513FAB6" w14:textId="7A860669" w:rsidR="00550E19" w:rsidRDefault="00550E19" w:rsidP="008F640F">
      <w:pPr>
        <w:spacing w:after="0" w:line="240" w:lineRule="auto"/>
        <w:rPr>
          <w:rFonts w:ascii="Century Schoolbook" w:hAnsi="Century Schoolbook"/>
        </w:rPr>
      </w:pPr>
    </w:p>
    <w:p w14:paraId="02B0D260" w14:textId="54835376" w:rsidR="00550E19" w:rsidRDefault="00550E19" w:rsidP="008F640F">
      <w:pPr>
        <w:spacing w:after="0" w:line="240" w:lineRule="auto"/>
        <w:rPr>
          <w:rFonts w:ascii="Century Schoolbook" w:hAnsi="Century Schoolbook"/>
        </w:rPr>
      </w:pPr>
    </w:p>
    <w:p w14:paraId="4D25C49D" w14:textId="3CF49759" w:rsidR="00550E19" w:rsidRDefault="00550E19" w:rsidP="008F640F">
      <w:pPr>
        <w:spacing w:after="0" w:line="240" w:lineRule="auto"/>
        <w:rPr>
          <w:rFonts w:ascii="Century Schoolbook" w:hAnsi="Century Schoolbook"/>
        </w:rPr>
      </w:pPr>
    </w:p>
    <w:p w14:paraId="0E5F02C8" w14:textId="6DFA7723" w:rsidR="00550E19" w:rsidRDefault="00550E19" w:rsidP="008F640F">
      <w:pPr>
        <w:spacing w:after="0" w:line="240" w:lineRule="auto"/>
        <w:rPr>
          <w:rFonts w:ascii="Century Schoolbook" w:hAnsi="Century Schoolbook"/>
        </w:rPr>
      </w:pPr>
    </w:p>
    <w:p w14:paraId="3CB97AAB" w14:textId="32A3BCD3" w:rsidR="00550E19" w:rsidRDefault="00550E19" w:rsidP="008F640F">
      <w:pPr>
        <w:spacing w:after="0" w:line="240" w:lineRule="auto"/>
        <w:rPr>
          <w:rFonts w:ascii="Century Schoolbook" w:hAnsi="Century Schoolbook"/>
        </w:rPr>
      </w:pPr>
    </w:p>
    <w:p w14:paraId="4E8FC82A" w14:textId="7CFEC11B" w:rsidR="00550E19" w:rsidRDefault="00550E19" w:rsidP="008F640F">
      <w:pPr>
        <w:spacing w:after="0" w:line="240" w:lineRule="auto"/>
        <w:rPr>
          <w:rFonts w:ascii="Century Schoolbook" w:hAnsi="Century Schoolbook"/>
        </w:rPr>
      </w:pPr>
    </w:p>
    <w:p w14:paraId="54431E72" w14:textId="2DF3DC26" w:rsidR="00550E19" w:rsidRDefault="00550E19" w:rsidP="008F640F">
      <w:pPr>
        <w:spacing w:after="0" w:line="240" w:lineRule="auto"/>
        <w:rPr>
          <w:rFonts w:ascii="Century Schoolbook" w:hAnsi="Century Schoolbook"/>
        </w:rPr>
      </w:pPr>
    </w:p>
    <w:p w14:paraId="7F516462" w14:textId="708507D9" w:rsidR="00550E19" w:rsidRDefault="00550E19" w:rsidP="008F640F">
      <w:pPr>
        <w:spacing w:after="0" w:line="240" w:lineRule="auto"/>
        <w:rPr>
          <w:rFonts w:ascii="Century Schoolbook" w:hAnsi="Century Schoolbook"/>
        </w:rPr>
      </w:pPr>
    </w:p>
    <w:p w14:paraId="3A8B009A" w14:textId="01A2D5A9" w:rsidR="00550E19" w:rsidRDefault="00550E19" w:rsidP="008F640F">
      <w:pPr>
        <w:spacing w:after="0" w:line="240" w:lineRule="auto"/>
        <w:rPr>
          <w:rFonts w:ascii="Century Schoolbook" w:hAnsi="Century Schoolbook"/>
        </w:rPr>
      </w:pPr>
    </w:p>
    <w:p w14:paraId="5EEB7355" w14:textId="09B473E7" w:rsidR="00550E19" w:rsidRDefault="00550E19" w:rsidP="008F640F">
      <w:pPr>
        <w:spacing w:after="0" w:line="240" w:lineRule="auto"/>
        <w:rPr>
          <w:rFonts w:ascii="Century Schoolbook" w:hAnsi="Century Schoolbook"/>
        </w:rPr>
      </w:pPr>
    </w:p>
    <w:p w14:paraId="06E4D5A3" w14:textId="77777777" w:rsidR="00550E19" w:rsidRDefault="00550E19" w:rsidP="008F640F">
      <w:pPr>
        <w:spacing w:after="0" w:line="240" w:lineRule="auto"/>
        <w:rPr>
          <w:rFonts w:ascii="Century Schoolbook" w:hAnsi="Century Schoolbook"/>
        </w:rPr>
      </w:pPr>
    </w:p>
    <w:p w14:paraId="00F6C6F2" w14:textId="77777777" w:rsidR="00A71F4A" w:rsidRPr="00A71F4A" w:rsidRDefault="00A71F4A" w:rsidP="00A71F4A">
      <w:pPr>
        <w:widowControl w:val="0"/>
        <w:pBdr>
          <w:bottom w:val="single" w:sz="4" w:space="1" w:color="auto"/>
        </w:pBdr>
        <w:tabs>
          <w:tab w:val="center" w:pos="0"/>
        </w:tabs>
        <w:autoSpaceDE w:val="0"/>
        <w:autoSpaceDN w:val="0"/>
        <w:spacing w:after="0" w:line="240" w:lineRule="auto"/>
        <w:rPr>
          <w:rFonts w:ascii="Century Schoolbook" w:eastAsia="Century Schoolbook" w:hAnsi="Century Schoolbook" w:cs="Century Schoolbook"/>
          <w:sz w:val="12"/>
          <w:szCs w:val="12"/>
        </w:rPr>
      </w:pPr>
    </w:p>
    <w:p w14:paraId="4F8BE989" w14:textId="3AF5248E" w:rsidR="00A71F4A" w:rsidRPr="00A71F4A" w:rsidRDefault="00A71F4A" w:rsidP="00A71F4A">
      <w:pPr>
        <w:widowControl w:val="0"/>
        <w:tabs>
          <w:tab w:val="center" w:pos="0"/>
        </w:tabs>
        <w:autoSpaceDE w:val="0"/>
        <w:autoSpaceDN w:val="0"/>
        <w:spacing w:after="0" w:line="240" w:lineRule="auto"/>
        <w:rPr>
          <w:rFonts w:ascii="Century Schoolbook" w:eastAsia="Century Schoolbook" w:hAnsi="Century Schoolbook" w:cs="Century Schoolbook"/>
        </w:rPr>
      </w:pPr>
      <w:r w:rsidRPr="006C2373">
        <w:rPr>
          <w:rFonts w:ascii="Century Schoolbook" w:eastAsia="Century Schoolbook" w:hAnsi="Century Schoolbook" w:cs="Century Schoolbook"/>
          <w:i/>
          <w:iCs/>
        </w:rPr>
        <w:t xml:space="preserve">End of </w:t>
      </w:r>
      <w:r>
        <w:rPr>
          <w:rFonts w:ascii="Century Schoolbook" w:eastAsia="Century Schoolbook" w:hAnsi="Century Schoolbook" w:cs="Century Schoolbook"/>
          <w:i/>
          <w:iCs/>
        </w:rPr>
        <w:t>Memorandum of Law</w:t>
      </w:r>
    </w:p>
    <w:sectPr w:rsidR="00A71F4A" w:rsidRPr="00A71F4A" w:rsidSect="00A71F4A">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EFE1" w14:textId="77777777" w:rsidR="00194790" w:rsidRDefault="00194790" w:rsidP="00BE4C27">
      <w:pPr>
        <w:spacing w:after="0" w:line="240" w:lineRule="auto"/>
      </w:pPr>
      <w:r>
        <w:separator/>
      </w:r>
    </w:p>
  </w:endnote>
  <w:endnote w:type="continuationSeparator" w:id="0">
    <w:p w14:paraId="734205EA" w14:textId="77777777" w:rsidR="00194790" w:rsidRDefault="00194790" w:rsidP="00BE4C27">
      <w:pPr>
        <w:spacing w:after="0" w:line="240" w:lineRule="auto"/>
      </w:pPr>
      <w:r>
        <w:continuationSeparator/>
      </w:r>
    </w:p>
  </w:endnote>
  <w:endnote w:type="continuationNotice" w:id="1">
    <w:p w14:paraId="13F73632" w14:textId="77777777" w:rsidR="00194790" w:rsidRDefault="00194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294328"/>
      <w:docPartObj>
        <w:docPartGallery w:val="Page Numbers (Bottom of Page)"/>
        <w:docPartUnique/>
      </w:docPartObj>
    </w:sdtPr>
    <w:sdtEndPr>
      <w:rPr>
        <w:rStyle w:val="PageNumber"/>
      </w:rPr>
    </w:sdtEndPr>
    <w:sdtContent>
      <w:p w14:paraId="77D2A126" w14:textId="6BAC4F9B" w:rsidR="00877EFB" w:rsidRDefault="00877EFB" w:rsidP="00877E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C5A6E" w14:textId="77777777" w:rsidR="00877EFB" w:rsidRDefault="00877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A28C" w14:textId="53B19359" w:rsidR="00877EFB" w:rsidRPr="00A71F4A" w:rsidRDefault="00A71F4A" w:rsidP="00877EFB">
    <w:pPr>
      <w:pStyle w:val="Footer"/>
      <w:framePr w:wrap="none" w:vAnchor="text" w:hAnchor="margin" w:xAlign="center" w:y="1"/>
      <w:rPr>
        <w:rStyle w:val="PageNumber"/>
        <w:rFonts w:ascii="Century Schoolbook" w:hAnsi="Century Schoolbook"/>
      </w:rPr>
    </w:pPr>
    <w:r>
      <w:rPr>
        <w:rStyle w:val="PageNumber"/>
        <w:rFonts w:ascii="Century Schoolbook" w:hAnsi="Century Schoolbook"/>
      </w:rPr>
      <w:t>14-</w:t>
    </w:r>
    <w:r w:rsidR="00877EFB" w:rsidRPr="00A71F4A">
      <w:rPr>
        <w:rStyle w:val="PageNumber"/>
        <w:rFonts w:ascii="Century Schoolbook" w:hAnsi="Century Schoolbook"/>
      </w:rPr>
      <w:t>ML-</w:t>
    </w:r>
    <w:sdt>
      <w:sdtPr>
        <w:rPr>
          <w:rStyle w:val="PageNumber"/>
          <w:rFonts w:ascii="Century Schoolbook" w:hAnsi="Century Schoolbook"/>
        </w:rPr>
        <w:id w:val="-1347949193"/>
        <w:docPartObj>
          <w:docPartGallery w:val="Page Numbers (Bottom of Page)"/>
          <w:docPartUnique/>
        </w:docPartObj>
      </w:sdtPr>
      <w:sdtEndPr>
        <w:rPr>
          <w:rStyle w:val="PageNumber"/>
        </w:rPr>
      </w:sdtEndPr>
      <w:sdtContent>
        <w:r w:rsidR="00877EFB" w:rsidRPr="00A71F4A">
          <w:rPr>
            <w:rStyle w:val="PageNumber"/>
            <w:rFonts w:ascii="Century Schoolbook" w:hAnsi="Century Schoolbook"/>
          </w:rPr>
          <w:fldChar w:fldCharType="begin"/>
        </w:r>
        <w:r w:rsidR="00877EFB" w:rsidRPr="00A71F4A">
          <w:rPr>
            <w:rStyle w:val="PageNumber"/>
            <w:rFonts w:ascii="Century Schoolbook" w:hAnsi="Century Schoolbook"/>
          </w:rPr>
          <w:instrText xml:space="preserve"> PAGE </w:instrText>
        </w:r>
        <w:r w:rsidR="00877EFB" w:rsidRPr="00A71F4A">
          <w:rPr>
            <w:rStyle w:val="PageNumber"/>
            <w:rFonts w:ascii="Century Schoolbook" w:hAnsi="Century Schoolbook"/>
          </w:rPr>
          <w:fldChar w:fldCharType="separate"/>
        </w:r>
        <w:r w:rsidR="00877EFB" w:rsidRPr="00A71F4A">
          <w:rPr>
            <w:rStyle w:val="PageNumber"/>
            <w:rFonts w:ascii="Century Schoolbook" w:hAnsi="Century Schoolbook"/>
            <w:noProof/>
          </w:rPr>
          <w:t>0</w:t>
        </w:r>
        <w:r w:rsidR="00877EFB" w:rsidRPr="00A71F4A">
          <w:rPr>
            <w:rStyle w:val="PageNumber"/>
            <w:rFonts w:ascii="Century Schoolbook" w:hAnsi="Century Schoolbook"/>
          </w:rPr>
          <w:fldChar w:fldCharType="end"/>
        </w:r>
      </w:sdtContent>
    </w:sdt>
  </w:p>
  <w:p w14:paraId="2A1B8A07" w14:textId="77777777" w:rsidR="00877EFB" w:rsidRDefault="00877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4725878"/>
      <w:docPartObj>
        <w:docPartGallery w:val="Page Numbers (Bottom of Page)"/>
        <w:docPartUnique/>
      </w:docPartObj>
    </w:sdtPr>
    <w:sdtEndPr>
      <w:rPr>
        <w:rStyle w:val="PageNumber"/>
      </w:rPr>
    </w:sdtEndPr>
    <w:sdtContent>
      <w:p w14:paraId="33A9C478" w14:textId="03763578" w:rsidR="00A71F4A" w:rsidRDefault="00A71F4A" w:rsidP="005D49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B062AD" w14:textId="77777777" w:rsidR="00A71F4A" w:rsidRDefault="00A7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EDBB6" w14:textId="77777777" w:rsidR="00194790" w:rsidRDefault="00194790" w:rsidP="00BE4C27">
      <w:pPr>
        <w:spacing w:after="0" w:line="240" w:lineRule="auto"/>
      </w:pPr>
      <w:r>
        <w:separator/>
      </w:r>
    </w:p>
  </w:footnote>
  <w:footnote w:type="continuationSeparator" w:id="0">
    <w:p w14:paraId="46DCFDC9" w14:textId="77777777" w:rsidR="00194790" w:rsidRDefault="00194790" w:rsidP="00BE4C27">
      <w:pPr>
        <w:spacing w:after="0" w:line="240" w:lineRule="auto"/>
      </w:pPr>
      <w:r>
        <w:continuationSeparator/>
      </w:r>
    </w:p>
  </w:footnote>
  <w:footnote w:type="continuationNotice" w:id="1">
    <w:p w14:paraId="6A46EB2D" w14:textId="77777777" w:rsidR="00194790" w:rsidRDefault="00194790">
      <w:pPr>
        <w:spacing w:after="0" w:line="240" w:lineRule="auto"/>
      </w:pPr>
    </w:p>
  </w:footnote>
  <w:footnote w:id="2">
    <w:p w14:paraId="4A52E08A" w14:textId="750DB228" w:rsidR="00877EFB" w:rsidRPr="002E250F" w:rsidRDefault="00877EFB" w:rsidP="00E10AB7">
      <w:pPr>
        <w:pStyle w:val="FootnoteText"/>
        <w:rPr>
          <w:rFonts w:ascii="Century Schoolbook" w:hAnsi="Century Schoolbook"/>
        </w:rPr>
      </w:pPr>
      <w:r w:rsidRPr="002E250F">
        <w:rPr>
          <w:rStyle w:val="FootnoteReference"/>
          <w:rFonts w:ascii="Century Schoolbook" w:hAnsi="Century Schoolbook"/>
        </w:rPr>
        <w:footnoteRef/>
      </w:r>
      <w:r w:rsidRPr="002E250F">
        <w:rPr>
          <w:rFonts w:ascii="Century Schoolbook" w:hAnsi="Century Schoolbook"/>
        </w:rPr>
        <w:t xml:space="preserve"> </w:t>
      </w:r>
      <w:r w:rsidR="00873B38">
        <w:rPr>
          <w:rFonts w:ascii="Century Schoolbook" w:hAnsi="Century Schoolbook"/>
        </w:rPr>
        <w:t>The Lanham Act</w:t>
      </w:r>
      <w:r w:rsidR="00873B38" w:rsidRPr="002E250F">
        <w:rPr>
          <w:rFonts w:ascii="Century Schoolbook" w:hAnsi="Century Schoolbook"/>
        </w:rPr>
        <w:t xml:space="preserve"> </w:t>
      </w:r>
      <w:r w:rsidRPr="002E250F">
        <w:rPr>
          <w:rFonts w:ascii="Century Schoolbook" w:hAnsi="Century Schoolbook"/>
        </w:rPr>
        <w:t xml:space="preserve">also protects trade dress and </w:t>
      </w:r>
      <w:r w:rsidR="00873B38">
        <w:rPr>
          <w:rFonts w:ascii="Century Schoolbook" w:hAnsi="Century Schoolbook"/>
        </w:rPr>
        <w:t xml:space="preserve">protects </w:t>
      </w:r>
      <w:r w:rsidRPr="002E250F">
        <w:rPr>
          <w:rFonts w:ascii="Century Schoolbook" w:hAnsi="Century Schoolbook"/>
        </w:rPr>
        <w:t xml:space="preserve">against certain types of unfair competition. The differences between these </w:t>
      </w:r>
      <w:r>
        <w:rPr>
          <w:rFonts w:ascii="Century Schoolbook" w:hAnsi="Century Schoolbook"/>
        </w:rPr>
        <w:t>lie</w:t>
      </w:r>
      <w:r w:rsidRPr="002E250F">
        <w:rPr>
          <w:rFonts w:ascii="Century Schoolbook" w:hAnsi="Century Schoolbook"/>
        </w:rPr>
        <w:t xml:space="preserve"> in </w:t>
      </w:r>
      <w:r>
        <w:rPr>
          <w:rFonts w:ascii="Century Schoolbook" w:hAnsi="Century Schoolbook"/>
        </w:rPr>
        <w:t>the</w:t>
      </w:r>
      <w:r w:rsidRPr="002E250F">
        <w:rPr>
          <w:rFonts w:ascii="Century Schoolbook" w:hAnsi="Century Schoolbook"/>
        </w:rPr>
        <w:t xml:space="preserve"> subject matter covered and certain formalities in acquisition. For the purpose of this case, these types of protection</w:t>
      </w:r>
      <w:r>
        <w:rPr>
          <w:rFonts w:ascii="Century Schoolbook" w:hAnsi="Century Schoolbook"/>
        </w:rPr>
        <w:t>s</w:t>
      </w:r>
      <w:r w:rsidRPr="002E250F">
        <w:rPr>
          <w:rFonts w:ascii="Century Schoolbook" w:hAnsi="Century Schoolbook"/>
        </w:rPr>
        <w:t xml:space="preserve"> should be regarded as interchangeable with trademark protection, and any cases dealing with trade dress and unfair competition should extend to trademarks as well. </w:t>
      </w:r>
    </w:p>
  </w:footnote>
  <w:footnote w:id="3">
    <w:p w14:paraId="687CFB9A" w14:textId="70C1D16F" w:rsidR="00877EFB" w:rsidRPr="002E250F" w:rsidRDefault="00877EFB" w:rsidP="00E10AB7">
      <w:pPr>
        <w:pStyle w:val="FootnoteText"/>
        <w:rPr>
          <w:rFonts w:ascii="Century Schoolbook" w:hAnsi="Century Schoolbook"/>
        </w:rPr>
      </w:pPr>
      <w:r w:rsidRPr="002E250F">
        <w:rPr>
          <w:rStyle w:val="FootnoteReference"/>
          <w:rFonts w:ascii="Century Schoolbook" w:hAnsi="Century Schoolbook"/>
        </w:rPr>
        <w:footnoteRef/>
      </w:r>
      <w:r w:rsidRPr="002E250F">
        <w:rPr>
          <w:rFonts w:ascii="Century Schoolbook" w:hAnsi="Century Schoolbook"/>
        </w:rPr>
        <w:t xml:space="preserve"> “Genericide” is the doctrine by which trademarks on words are deemed unprotectable because the trademark has become the generic designation of the product the trademark covers. </w:t>
      </w:r>
      <w:r w:rsidRPr="002E250F">
        <w:rPr>
          <w:rFonts w:ascii="Century Schoolbook" w:hAnsi="Century Schoolbook"/>
          <w:i/>
        </w:rPr>
        <w:t>See</w:t>
      </w:r>
      <w:r w:rsidRPr="002E250F">
        <w:rPr>
          <w:rFonts w:ascii="Century Schoolbook" w:hAnsi="Century Schoolbook"/>
        </w:rPr>
        <w:t xml:space="preserve"> J. </w:t>
      </w:r>
      <w:r w:rsidRPr="00611D97">
        <w:rPr>
          <w:rFonts w:ascii="Century Schoolbook" w:hAnsi="Century Schoolbook"/>
        </w:rPr>
        <w:t xml:space="preserve">Thomas McCarthy, </w:t>
      </w:r>
      <w:r w:rsidRPr="002A2C7E">
        <w:rPr>
          <w:rFonts w:ascii="Century Schoolbook" w:hAnsi="Century Schoolbook"/>
          <w:i/>
          <w:iCs/>
        </w:rPr>
        <w:t>McCarthy on Trademarks and Unfair Competition</w:t>
      </w:r>
      <w:r w:rsidRPr="002E250F">
        <w:rPr>
          <w:rFonts w:ascii="Century Schoolbook" w:hAnsi="Century Schoolbook"/>
          <w:smallCaps/>
        </w:rPr>
        <w:t xml:space="preserve"> </w:t>
      </w:r>
      <w:r w:rsidRPr="002E250F">
        <w:rPr>
          <w:rFonts w:ascii="Century Schoolbook" w:hAnsi="Century Schoolbook"/>
        </w:rPr>
        <w:t>§ 2:1 (</w:t>
      </w:r>
      <w:r w:rsidR="00166AD2">
        <w:rPr>
          <w:rFonts w:ascii="Century Schoolbook" w:hAnsi="Century Schoolbook"/>
        </w:rPr>
        <w:t xml:space="preserve">5th ed. </w:t>
      </w:r>
      <w:r w:rsidRPr="002E250F">
        <w:rPr>
          <w:rFonts w:ascii="Century Schoolbook" w:hAnsi="Century Schoolbook"/>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6BE2"/>
    <w:multiLevelType w:val="multilevel"/>
    <w:tmpl w:val="3078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B2FBC"/>
    <w:multiLevelType w:val="multilevel"/>
    <w:tmpl w:val="DBC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65D20"/>
    <w:multiLevelType w:val="multilevel"/>
    <w:tmpl w:val="BC8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4D"/>
    <w:rsid w:val="000008A7"/>
    <w:rsid w:val="00001BD8"/>
    <w:rsid w:val="0000566F"/>
    <w:rsid w:val="00006440"/>
    <w:rsid w:val="0002400F"/>
    <w:rsid w:val="000241C1"/>
    <w:rsid w:val="00031862"/>
    <w:rsid w:val="000402D1"/>
    <w:rsid w:val="00042E0B"/>
    <w:rsid w:val="000455C1"/>
    <w:rsid w:val="000468DC"/>
    <w:rsid w:val="000501EC"/>
    <w:rsid w:val="00054C39"/>
    <w:rsid w:val="0005515D"/>
    <w:rsid w:val="00062192"/>
    <w:rsid w:val="00066B0A"/>
    <w:rsid w:val="00080EF2"/>
    <w:rsid w:val="000834E6"/>
    <w:rsid w:val="00087DE3"/>
    <w:rsid w:val="00096C6F"/>
    <w:rsid w:val="000A7DCA"/>
    <w:rsid w:val="000B24D8"/>
    <w:rsid w:val="000B3E6E"/>
    <w:rsid w:val="000B6CBC"/>
    <w:rsid w:val="000C0F4A"/>
    <w:rsid w:val="000C2D5E"/>
    <w:rsid w:val="000C3A07"/>
    <w:rsid w:val="000C4641"/>
    <w:rsid w:val="000D106F"/>
    <w:rsid w:val="000D5C15"/>
    <w:rsid w:val="000E1550"/>
    <w:rsid w:val="000F2C85"/>
    <w:rsid w:val="000F4369"/>
    <w:rsid w:val="000F77FD"/>
    <w:rsid w:val="00100BCE"/>
    <w:rsid w:val="00112AB6"/>
    <w:rsid w:val="00112B4E"/>
    <w:rsid w:val="00112D23"/>
    <w:rsid w:val="001134A5"/>
    <w:rsid w:val="00141A64"/>
    <w:rsid w:val="00142F56"/>
    <w:rsid w:val="00145DC9"/>
    <w:rsid w:val="001524B2"/>
    <w:rsid w:val="00155318"/>
    <w:rsid w:val="0015710A"/>
    <w:rsid w:val="001637A5"/>
    <w:rsid w:val="00166AD2"/>
    <w:rsid w:val="0017316A"/>
    <w:rsid w:val="00175BEB"/>
    <w:rsid w:val="00194790"/>
    <w:rsid w:val="001969FA"/>
    <w:rsid w:val="001A5444"/>
    <w:rsid w:val="001A63CA"/>
    <w:rsid w:val="001A6CAF"/>
    <w:rsid w:val="001A74B1"/>
    <w:rsid w:val="001B59E7"/>
    <w:rsid w:val="001B67F1"/>
    <w:rsid w:val="001B7085"/>
    <w:rsid w:val="001C178A"/>
    <w:rsid w:val="001E2F56"/>
    <w:rsid w:val="001E3245"/>
    <w:rsid w:val="001E55BF"/>
    <w:rsid w:val="001F5588"/>
    <w:rsid w:val="002004A7"/>
    <w:rsid w:val="0020249F"/>
    <w:rsid w:val="00202A9E"/>
    <w:rsid w:val="00221E06"/>
    <w:rsid w:val="00235403"/>
    <w:rsid w:val="002377F1"/>
    <w:rsid w:val="00247675"/>
    <w:rsid w:val="00257EF1"/>
    <w:rsid w:val="0026098E"/>
    <w:rsid w:val="002611BA"/>
    <w:rsid w:val="002651A7"/>
    <w:rsid w:val="00277105"/>
    <w:rsid w:val="00283C0E"/>
    <w:rsid w:val="00286E0F"/>
    <w:rsid w:val="002874B1"/>
    <w:rsid w:val="00297257"/>
    <w:rsid w:val="002A2C7E"/>
    <w:rsid w:val="002A36AE"/>
    <w:rsid w:val="002A6043"/>
    <w:rsid w:val="002B2CEF"/>
    <w:rsid w:val="002C0BB7"/>
    <w:rsid w:val="002C7A14"/>
    <w:rsid w:val="002D2408"/>
    <w:rsid w:val="002D28A8"/>
    <w:rsid w:val="002D39A1"/>
    <w:rsid w:val="002E1363"/>
    <w:rsid w:val="002E250F"/>
    <w:rsid w:val="002E369C"/>
    <w:rsid w:val="002F3A53"/>
    <w:rsid w:val="002F4BE0"/>
    <w:rsid w:val="002F5472"/>
    <w:rsid w:val="00305C80"/>
    <w:rsid w:val="00314F75"/>
    <w:rsid w:val="00320F2C"/>
    <w:rsid w:val="00323F72"/>
    <w:rsid w:val="00332865"/>
    <w:rsid w:val="0034051B"/>
    <w:rsid w:val="0035185C"/>
    <w:rsid w:val="003547C5"/>
    <w:rsid w:val="00357697"/>
    <w:rsid w:val="0036069F"/>
    <w:rsid w:val="0036161A"/>
    <w:rsid w:val="003640F1"/>
    <w:rsid w:val="003721A8"/>
    <w:rsid w:val="003740A9"/>
    <w:rsid w:val="003835F4"/>
    <w:rsid w:val="00385194"/>
    <w:rsid w:val="003859D4"/>
    <w:rsid w:val="003A21E6"/>
    <w:rsid w:val="003A49C0"/>
    <w:rsid w:val="003B0109"/>
    <w:rsid w:val="003B4291"/>
    <w:rsid w:val="003C29FC"/>
    <w:rsid w:val="003D2F8F"/>
    <w:rsid w:val="003D486D"/>
    <w:rsid w:val="003E1628"/>
    <w:rsid w:val="003E3BBD"/>
    <w:rsid w:val="003F169D"/>
    <w:rsid w:val="00401BBC"/>
    <w:rsid w:val="00405560"/>
    <w:rsid w:val="00415566"/>
    <w:rsid w:val="00417217"/>
    <w:rsid w:val="00424E04"/>
    <w:rsid w:val="00433A09"/>
    <w:rsid w:val="004400B0"/>
    <w:rsid w:val="004466F6"/>
    <w:rsid w:val="004470F0"/>
    <w:rsid w:val="00455C33"/>
    <w:rsid w:val="004623E2"/>
    <w:rsid w:val="0047159F"/>
    <w:rsid w:val="004754F7"/>
    <w:rsid w:val="00482BBA"/>
    <w:rsid w:val="004902AB"/>
    <w:rsid w:val="004954FA"/>
    <w:rsid w:val="004A1302"/>
    <w:rsid w:val="004A225D"/>
    <w:rsid w:val="004A2E11"/>
    <w:rsid w:val="004A5587"/>
    <w:rsid w:val="004B47A8"/>
    <w:rsid w:val="004C7657"/>
    <w:rsid w:val="004C7EDA"/>
    <w:rsid w:val="004D3635"/>
    <w:rsid w:val="004E380D"/>
    <w:rsid w:val="004E5A77"/>
    <w:rsid w:val="004F2AB9"/>
    <w:rsid w:val="004F3401"/>
    <w:rsid w:val="004F3B47"/>
    <w:rsid w:val="005023A8"/>
    <w:rsid w:val="005030A8"/>
    <w:rsid w:val="005030D3"/>
    <w:rsid w:val="00503916"/>
    <w:rsid w:val="00503A2A"/>
    <w:rsid w:val="00507EFA"/>
    <w:rsid w:val="00511B11"/>
    <w:rsid w:val="005142A9"/>
    <w:rsid w:val="00517E35"/>
    <w:rsid w:val="00521631"/>
    <w:rsid w:val="005256F5"/>
    <w:rsid w:val="005306F2"/>
    <w:rsid w:val="005402E4"/>
    <w:rsid w:val="00542CEF"/>
    <w:rsid w:val="00550E19"/>
    <w:rsid w:val="0055152C"/>
    <w:rsid w:val="0055693F"/>
    <w:rsid w:val="005572E2"/>
    <w:rsid w:val="00557997"/>
    <w:rsid w:val="00562307"/>
    <w:rsid w:val="00567090"/>
    <w:rsid w:val="00573430"/>
    <w:rsid w:val="00597A03"/>
    <w:rsid w:val="005A48E5"/>
    <w:rsid w:val="005B592F"/>
    <w:rsid w:val="005C1A86"/>
    <w:rsid w:val="005C4E08"/>
    <w:rsid w:val="005D1027"/>
    <w:rsid w:val="005D4EA7"/>
    <w:rsid w:val="005D7426"/>
    <w:rsid w:val="005E0355"/>
    <w:rsid w:val="005E79CC"/>
    <w:rsid w:val="005F3C54"/>
    <w:rsid w:val="006027E1"/>
    <w:rsid w:val="00603C1A"/>
    <w:rsid w:val="00621DC9"/>
    <w:rsid w:val="00627888"/>
    <w:rsid w:val="006311FF"/>
    <w:rsid w:val="00631AA3"/>
    <w:rsid w:val="00635776"/>
    <w:rsid w:val="00643CAC"/>
    <w:rsid w:val="00650AF8"/>
    <w:rsid w:val="006534F9"/>
    <w:rsid w:val="00664F0C"/>
    <w:rsid w:val="00666E52"/>
    <w:rsid w:val="00670C87"/>
    <w:rsid w:val="006710D2"/>
    <w:rsid w:val="00677F42"/>
    <w:rsid w:val="00683A1C"/>
    <w:rsid w:val="00691A94"/>
    <w:rsid w:val="00694CB3"/>
    <w:rsid w:val="006A67A3"/>
    <w:rsid w:val="006B3DBD"/>
    <w:rsid w:val="006B50DE"/>
    <w:rsid w:val="006B617D"/>
    <w:rsid w:val="006B6AB4"/>
    <w:rsid w:val="006D3A90"/>
    <w:rsid w:val="006D5CCE"/>
    <w:rsid w:val="006D6370"/>
    <w:rsid w:val="006D63F6"/>
    <w:rsid w:val="006E1100"/>
    <w:rsid w:val="006E5D6A"/>
    <w:rsid w:val="006F24AF"/>
    <w:rsid w:val="006F62A3"/>
    <w:rsid w:val="006F7789"/>
    <w:rsid w:val="006F7E3E"/>
    <w:rsid w:val="00703D20"/>
    <w:rsid w:val="007052ED"/>
    <w:rsid w:val="00706161"/>
    <w:rsid w:val="007106B9"/>
    <w:rsid w:val="00712561"/>
    <w:rsid w:val="00712F95"/>
    <w:rsid w:val="007218F6"/>
    <w:rsid w:val="00727754"/>
    <w:rsid w:val="00732F7D"/>
    <w:rsid w:val="00735628"/>
    <w:rsid w:val="007411A7"/>
    <w:rsid w:val="007424C8"/>
    <w:rsid w:val="007452B5"/>
    <w:rsid w:val="00746961"/>
    <w:rsid w:val="0075028C"/>
    <w:rsid w:val="00754CD4"/>
    <w:rsid w:val="00757669"/>
    <w:rsid w:val="00757E3B"/>
    <w:rsid w:val="007646B0"/>
    <w:rsid w:val="00765322"/>
    <w:rsid w:val="0077121C"/>
    <w:rsid w:val="00776117"/>
    <w:rsid w:val="0078168D"/>
    <w:rsid w:val="007868CD"/>
    <w:rsid w:val="00787AD2"/>
    <w:rsid w:val="00797182"/>
    <w:rsid w:val="007971C4"/>
    <w:rsid w:val="007A476A"/>
    <w:rsid w:val="007B1E98"/>
    <w:rsid w:val="007B30CF"/>
    <w:rsid w:val="007C42C6"/>
    <w:rsid w:val="007D0AB6"/>
    <w:rsid w:val="007D6CB1"/>
    <w:rsid w:val="007D78DB"/>
    <w:rsid w:val="007E17F2"/>
    <w:rsid w:val="007E21E7"/>
    <w:rsid w:val="007E3190"/>
    <w:rsid w:val="007E6639"/>
    <w:rsid w:val="007F09B5"/>
    <w:rsid w:val="007F405B"/>
    <w:rsid w:val="007F4FD9"/>
    <w:rsid w:val="007F637B"/>
    <w:rsid w:val="007F723D"/>
    <w:rsid w:val="007F74A9"/>
    <w:rsid w:val="00812416"/>
    <w:rsid w:val="00813600"/>
    <w:rsid w:val="00814816"/>
    <w:rsid w:val="00835360"/>
    <w:rsid w:val="00841684"/>
    <w:rsid w:val="00845297"/>
    <w:rsid w:val="00855BC4"/>
    <w:rsid w:val="0087031E"/>
    <w:rsid w:val="00873B38"/>
    <w:rsid w:val="00877EFB"/>
    <w:rsid w:val="00880859"/>
    <w:rsid w:val="008826C9"/>
    <w:rsid w:val="00882CC1"/>
    <w:rsid w:val="0089362F"/>
    <w:rsid w:val="008955E3"/>
    <w:rsid w:val="008A0FCC"/>
    <w:rsid w:val="008A2A54"/>
    <w:rsid w:val="008A33FD"/>
    <w:rsid w:val="008A548F"/>
    <w:rsid w:val="008B059F"/>
    <w:rsid w:val="008B15CD"/>
    <w:rsid w:val="008C1A72"/>
    <w:rsid w:val="008C1B1C"/>
    <w:rsid w:val="008C4EFC"/>
    <w:rsid w:val="008D00E8"/>
    <w:rsid w:val="008D4AAC"/>
    <w:rsid w:val="008D6EC9"/>
    <w:rsid w:val="008E1489"/>
    <w:rsid w:val="008E596D"/>
    <w:rsid w:val="008E78E8"/>
    <w:rsid w:val="008F640F"/>
    <w:rsid w:val="00901312"/>
    <w:rsid w:val="00906184"/>
    <w:rsid w:val="00916936"/>
    <w:rsid w:val="00922FB7"/>
    <w:rsid w:val="00927FFE"/>
    <w:rsid w:val="00931814"/>
    <w:rsid w:val="009358F5"/>
    <w:rsid w:val="00947A59"/>
    <w:rsid w:val="00953BB2"/>
    <w:rsid w:val="00955C61"/>
    <w:rsid w:val="009602CC"/>
    <w:rsid w:val="009739A9"/>
    <w:rsid w:val="00984ADF"/>
    <w:rsid w:val="00984F12"/>
    <w:rsid w:val="0098579C"/>
    <w:rsid w:val="00991F3D"/>
    <w:rsid w:val="009955FD"/>
    <w:rsid w:val="00997F37"/>
    <w:rsid w:val="009B52E4"/>
    <w:rsid w:val="009B7A32"/>
    <w:rsid w:val="009C0E0F"/>
    <w:rsid w:val="009C35AC"/>
    <w:rsid w:val="009C4382"/>
    <w:rsid w:val="009D16DA"/>
    <w:rsid w:val="009D18E5"/>
    <w:rsid w:val="009D4BF4"/>
    <w:rsid w:val="009D7A74"/>
    <w:rsid w:val="009E354D"/>
    <w:rsid w:val="009F604E"/>
    <w:rsid w:val="00A02158"/>
    <w:rsid w:val="00A05A07"/>
    <w:rsid w:val="00A07A7B"/>
    <w:rsid w:val="00A13B7E"/>
    <w:rsid w:val="00A1703A"/>
    <w:rsid w:val="00A17EFC"/>
    <w:rsid w:val="00A523A7"/>
    <w:rsid w:val="00A526C2"/>
    <w:rsid w:val="00A53A6F"/>
    <w:rsid w:val="00A6758A"/>
    <w:rsid w:val="00A71F4A"/>
    <w:rsid w:val="00A74230"/>
    <w:rsid w:val="00A83A81"/>
    <w:rsid w:val="00A962E2"/>
    <w:rsid w:val="00AA4964"/>
    <w:rsid w:val="00AA50AD"/>
    <w:rsid w:val="00AB0EC6"/>
    <w:rsid w:val="00AB5F11"/>
    <w:rsid w:val="00AB7924"/>
    <w:rsid w:val="00AD0486"/>
    <w:rsid w:val="00AD098C"/>
    <w:rsid w:val="00AD0A97"/>
    <w:rsid w:val="00AD24F1"/>
    <w:rsid w:val="00AD44B4"/>
    <w:rsid w:val="00AE7504"/>
    <w:rsid w:val="00AF33A3"/>
    <w:rsid w:val="00AF6397"/>
    <w:rsid w:val="00B044C6"/>
    <w:rsid w:val="00B0565F"/>
    <w:rsid w:val="00B07380"/>
    <w:rsid w:val="00B075C4"/>
    <w:rsid w:val="00B0798B"/>
    <w:rsid w:val="00B27506"/>
    <w:rsid w:val="00B3099D"/>
    <w:rsid w:val="00B30AC2"/>
    <w:rsid w:val="00B336F4"/>
    <w:rsid w:val="00B36127"/>
    <w:rsid w:val="00B37165"/>
    <w:rsid w:val="00B37CE4"/>
    <w:rsid w:val="00B43488"/>
    <w:rsid w:val="00B454E4"/>
    <w:rsid w:val="00B460C3"/>
    <w:rsid w:val="00B47EFE"/>
    <w:rsid w:val="00B56DB4"/>
    <w:rsid w:val="00B5790C"/>
    <w:rsid w:val="00B62D9F"/>
    <w:rsid w:val="00B648F5"/>
    <w:rsid w:val="00B67C9A"/>
    <w:rsid w:val="00B80285"/>
    <w:rsid w:val="00B8701E"/>
    <w:rsid w:val="00BA139B"/>
    <w:rsid w:val="00BA430F"/>
    <w:rsid w:val="00BA71D4"/>
    <w:rsid w:val="00BB1685"/>
    <w:rsid w:val="00BB4359"/>
    <w:rsid w:val="00BC08EF"/>
    <w:rsid w:val="00BC1F96"/>
    <w:rsid w:val="00BD5272"/>
    <w:rsid w:val="00BD7602"/>
    <w:rsid w:val="00BE14FE"/>
    <w:rsid w:val="00BE4C27"/>
    <w:rsid w:val="00BF5516"/>
    <w:rsid w:val="00C03555"/>
    <w:rsid w:val="00C070B7"/>
    <w:rsid w:val="00C2116A"/>
    <w:rsid w:val="00C223B6"/>
    <w:rsid w:val="00C33356"/>
    <w:rsid w:val="00C3355C"/>
    <w:rsid w:val="00C33893"/>
    <w:rsid w:val="00C45887"/>
    <w:rsid w:val="00C50B13"/>
    <w:rsid w:val="00C53F8B"/>
    <w:rsid w:val="00C554D2"/>
    <w:rsid w:val="00C63623"/>
    <w:rsid w:val="00C64D22"/>
    <w:rsid w:val="00C846C5"/>
    <w:rsid w:val="00C91DEE"/>
    <w:rsid w:val="00C93888"/>
    <w:rsid w:val="00CA191D"/>
    <w:rsid w:val="00CB0D53"/>
    <w:rsid w:val="00CB59D9"/>
    <w:rsid w:val="00CC05DB"/>
    <w:rsid w:val="00CC2983"/>
    <w:rsid w:val="00CD1BB8"/>
    <w:rsid w:val="00CE4D83"/>
    <w:rsid w:val="00D20485"/>
    <w:rsid w:val="00D26C30"/>
    <w:rsid w:val="00D2750B"/>
    <w:rsid w:val="00D3141E"/>
    <w:rsid w:val="00D31E9F"/>
    <w:rsid w:val="00D4562C"/>
    <w:rsid w:val="00D46F1A"/>
    <w:rsid w:val="00D5100C"/>
    <w:rsid w:val="00D51E26"/>
    <w:rsid w:val="00D5519C"/>
    <w:rsid w:val="00D6134D"/>
    <w:rsid w:val="00D64D2F"/>
    <w:rsid w:val="00D64F69"/>
    <w:rsid w:val="00D70C20"/>
    <w:rsid w:val="00D725EF"/>
    <w:rsid w:val="00D76495"/>
    <w:rsid w:val="00D80426"/>
    <w:rsid w:val="00D81813"/>
    <w:rsid w:val="00D905D0"/>
    <w:rsid w:val="00D92160"/>
    <w:rsid w:val="00D97A94"/>
    <w:rsid w:val="00DA1F33"/>
    <w:rsid w:val="00DB2F18"/>
    <w:rsid w:val="00DB3DAD"/>
    <w:rsid w:val="00DB7FBD"/>
    <w:rsid w:val="00DD5F95"/>
    <w:rsid w:val="00DD76FD"/>
    <w:rsid w:val="00DE0344"/>
    <w:rsid w:val="00DE1D13"/>
    <w:rsid w:val="00DE1F7B"/>
    <w:rsid w:val="00DF22D1"/>
    <w:rsid w:val="00DF2769"/>
    <w:rsid w:val="00DF3BEB"/>
    <w:rsid w:val="00E02FB2"/>
    <w:rsid w:val="00E04F9F"/>
    <w:rsid w:val="00E07FAE"/>
    <w:rsid w:val="00E10AB7"/>
    <w:rsid w:val="00E12E9B"/>
    <w:rsid w:val="00E138E7"/>
    <w:rsid w:val="00E27072"/>
    <w:rsid w:val="00E3797B"/>
    <w:rsid w:val="00E421EA"/>
    <w:rsid w:val="00E458D1"/>
    <w:rsid w:val="00E463EE"/>
    <w:rsid w:val="00E4713E"/>
    <w:rsid w:val="00E4784D"/>
    <w:rsid w:val="00E64C5F"/>
    <w:rsid w:val="00E73E60"/>
    <w:rsid w:val="00E7745F"/>
    <w:rsid w:val="00E7767D"/>
    <w:rsid w:val="00E85CDA"/>
    <w:rsid w:val="00E86933"/>
    <w:rsid w:val="00E9166D"/>
    <w:rsid w:val="00E93061"/>
    <w:rsid w:val="00E932D1"/>
    <w:rsid w:val="00E976C3"/>
    <w:rsid w:val="00EA283D"/>
    <w:rsid w:val="00EA4464"/>
    <w:rsid w:val="00EB67F1"/>
    <w:rsid w:val="00EC2DF2"/>
    <w:rsid w:val="00EC3116"/>
    <w:rsid w:val="00EC4CC3"/>
    <w:rsid w:val="00ED2B76"/>
    <w:rsid w:val="00EE1466"/>
    <w:rsid w:val="00EE2312"/>
    <w:rsid w:val="00EF0B48"/>
    <w:rsid w:val="00EF7927"/>
    <w:rsid w:val="00F04BDC"/>
    <w:rsid w:val="00F0750F"/>
    <w:rsid w:val="00F11C4B"/>
    <w:rsid w:val="00F12F9D"/>
    <w:rsid w:val="00F133B3"/>
    <w:rsid w:val="00F13953"/>
    <w:rsid w:val="00F16E3E"/>
    <w:rsid w:val="00F17150"/>
    <w:rsid w:val="00F26777"/>
    <w:rsid w:val="00F32DD6"/>
    <w:rsid w:val="00F334C9"/>
    <w:rsid w:val="00F34217"/>
    <w:rsid w:val="00F45A7D"/>
    <w:rsid w:val="00F5072E"/>
    <w:rsid w:val="00F54E21"/>
    <w:rsid w:val="00F551EC"/>
    <w:rsid w:val="00F610E4"/>
    <w:rsid w:val="00F643E2"/>
    <w:rsid w:val="00F73825"/>
    <w:rsid w:val="00F82287"/>
    <w:rsid w:val="00F84EA2"/>
    <w:rsid w:val="00F877AE"/>
    <w:rsid w:val="00F913CC"/>
    <w:rsid w:val="00FA0C74"/>
    <w:rsid w:val="00FB243B"/>
    <w:rsid w:val="00FC473B"/>
    <w:rsid w:val="00FE0A9D"/>
    <w:rsid w:val="00FE279C"/>
    <w:rsid w:val="00FE4B61"/>
    <w:rsid w:val="00FF762D"/>
    <w:rsid w:val="00FF7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D464"/>
  <w15:chartTrackingRefBased/>
  <w15:docId w15:val="{BC177196-87C7-46B1-B22F-920A4BDE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043"/>
    <w:rPr>
      <w:color w:val="0563C1" w:themeColor="hyperlink"/>
      <w:u w:val="single"/>
    </w:rPr>
  </w:style>
  <w:style w:type="paragraph" w:styleId="EndnoteText">
    <w:name w:val="endnote text"/>
    <w:basedOn w:val="Normal"/>
    <w:link w:val="EndnoteTextChar"/>
    <w:uiPriority w:val="99"/>
    <w:unhideWhenUsed/>
    <w:rsid w:val="002A6043"/>
    <w:pPr>
      <w:spacing w:after="0" w:line="240" w:lineRule="auto"/>
    </w:pPr>
    <w:rPr>
      <w:sz w:val="20"/>
      <w:szCs w:val="20"/>
    </w:rPr>
  </w:style>
  <w:style w:type="character" w:customStyle="1" w:styleId="EndnoteTextChar">
    <w:name w:val="Endnote Text Char"/>
    <w:basedOn w:val="DefaultParagraphFont"/>
    <w:link w:val="EndnoteText"/>
    <w:uiPriority w:val="99"/>
    <w:rsid w:val="002A6043"/>
    <w:rPr>
      <w:sz w:val="20"/>
      <w:szCs w:val="20"/>
    </w:rPr>
  </w:style>
  <w:style w:type="paragraph" w:styleId="FootnoteText">
    <w:name w:val="footnote text"/>
    <w:basedOn w:val="Normal"/>
    <w:link w:val="FootnoteTextChar"/>
    <w:uiPriority w:val="99"/>
    <w:semiHidden/>
    <w:unhideWhenUsed/>
    <w:rsid w:val="00BE4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C27"/>
    <w:rPr>
      <w:sz w:val="20"/>
      <w:szCs w:val="20"/>
    </w:rPr>
  </w:style>
  <w:style w:type="character" w:styleId="FootnoteReference">
    <w:name w:val="footnote reference"/>
    <w:basedOn w:val="DefaultParagraphFont"/>
    <w:uiPriority w:val="99"/>
    <w:semiHidden/>
    <w:unhideWhenUsed/>
    <w:rsid w:val="00BE4C27"/>
    <w:rPr>
      <w:vertAlign w:val="superscript"/>
    </w:rPr>
  </w:style>
  <w:style w:type="paragraph" w:styleId="Header">
    <w:name w:val="header"/>
    <w:basedOn w:val="Normal"/>
    <w:link w:val="HeaderChar"/>
    <w:uiPriority w:val="99"/>
    <w:unhideWhenUsed/>
    <w:rsid w:val="0015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4B2"/>
  </w:style>
  <w:style w:type="paragraph" w:styleId="Footer">
    <w:name w:val="footer"/>
    <w:basedOn w:val="Normal"/>
    <w:link w:val="FooterChar"/>
    <w:uiPriority w:val="99"/>
    <w:unhideWhenUsed/>
    <w:rsid w:val="0015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4B2"/>
  </w:style>
  <w:style w:type="character" w:styleId="CommentReference">
    <w:name w:val="annotation reference"/>
    <w:basedOn w:val="DefaultParagraphFont"/>
    <w:uiPriority w:val="99"/>
    <w:semiHidden/>
    <w:unhideWhenUsed/>
    <w:rsid w:val="00D76495"/>
    <w:rPr>
      <w:sz w:val="16"/>
      <w:szCs w:val="16"/>
    </w:rPr>
  </w:style>
  <w:style w:type="paragraph" w:styleId="CommentText">
    <w:name w:val="annotation text"/>
    <w:basedOn w:val="Normal"/>
    <w:link w:val="CommentTextChar"/>
    <w:uiPriority w:val="99"/>
    <w:semiHidden/>
    <w:unhideWhenUsed/>
    <w:rsid w:val="00D76495"/>
    <w:pPr>
      <w:spacing w:line="240" w:lineRule="auto"/>
    </w:pPr>
    <w:rPr>
      <w:sz w:val="20"/>
      <w:szCs w:val="20"/>
    </w:rPr>
  </w:style>
  <w:style w:type="character" w:customStyle="1" w:styleId="CommentTextChar">
    <w:name w:val="Comment Text Char"/>
    <w:basedOn w:val="DefaultParagraphFont"/>
    <w:link w:val="CommentText"/>
    <w:uiPriority w:val="99"/>
    <w:semiHidden/>
    <w:rsid w:val="00D76495"/>
    <w:rPr>
      <w:sz w:val="20"/>
      <w:szCs w:val="20"/>
    </w:rPr>
  </w:style>
  <w:style w:type="paragraph" w:styleId="CommentSubject">
    <w:name w:val="annotation subject"/>
    <w:basedOn w:val="CommentText"/>
    <w:next w:val="CommentText"/>
    <w:link w:val="CommentSubjectChar"/>
    <w:uiPriority w:val="99"/>
    <w:semiHidden/>
    <w:unhideWhenUsed/>
    <w:rsid w:val="00D76495"/>
    <w:rPr>
      <w:b/>
      <w:bCs/>
    </w:rPr>
  </w:style>
  <w:style w:type="character" w:customStyle="1" w:styleId="CommentSubjectChar">
    <w:name w:val="Comment Subject Char"/>
    <w:basedOn w:val="CommentTextChar"/>
    <w:link w:val="CommentSubject"/>
    <w:uiPriority w:val="99"/>
    <w:semiHidden/>
    <w:rsid w:val="00D76495"/>
    <w:rPr>
      <w:b/>
      <w:bCs/>
      <w:sz w:val="20"/>
      <w:szCs w:val="20"/>
    </w:rPr>
  </w:style>
  <w:style w:type="paragraph" w:styleId="BalloonText">
    <w:name w:val="Balloon Text"/>
    <w:basedOn w:val="Normal"/>
    <w:link w:val="BalloonTextChar"/>
    <w:uiPriority w:val="99"/>
    <w:semiHidden/>
    <w:unhideWhenUsed/>
    <w:rsid w:val="00D7649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76495"/>
    <w:rPr>
      <w:sz w:val="18"/>
      <w:szCs w:val="18"/>
    </w:rPr>
  </w:style>
  <w:style w:type="character" w:styleId="PageNumber">
    <w:name w:val="page number"/>
    <w:basedOn w:val="DefaultParagraphFont"/>
    <w:uiPriority w:val="99"/>
    <w:semiHidden/>
    <w:unhideWhenUsed/>
    <w:rsid w:val="00E10AB7"/>
  </w:style>
  <w:style w:type="paragraph" w:styleId="NormalWeb">
    <w:name w:val="Normal (Web)"/>
    <w:basedOn w:val="Normal"/>
    <w:uiPriority w:val="99"/>
    <w:unhideWhenUsed/>
    <w:rsid w:val="00E10AB7"/>
    <w:pPr>
      <w:spacing w:before="100" w:beforeAutospacing="1" w:after="100" w:afterAutospacing="1" w:line="240" w:lineRule="auto"/>
    </w:pPr>
    <w:rPr>
      <w:rFonts w:eastAsia="Times New Roman"/>
      <w:lang w:eastAsia="zh-CN"/>
    </w:rPr>
  </w:style>
  <w:style w:type="paragraph" w:styleId="Revision">
    <w:name w:val="Revision"/>
    <w:hidden/>
    <w:uiPriority w:val="99"/>
    <w:semiHidden/>
    <w:rsid w:val="00E10AB7"/>
    <w:pPr>
      <w:spacing w:after="0" w:line="240" w:lineRule="auto"/>
    </w:pPr>
  </w:style>
  <w:style w:type="character" w:styleId="UnresolvedMention">
    <w:name w:val="Unresolved Mention"/>
    <w:basedOn w:val="DefaultParagraphFont"/>
    <w:uiPriority w:val="99"/>
    <w:semiHidden/>
    <w:unhideWhenUsed/>
    <w:rsid w:val="00E10AB7"/>
    <w:rPr>
      <w:color w:val="605E5C"/>
      <w:shd w:val="clear" w:color="auto" w:fill="E1DFDD"/>
    </w:rPr>
  </w:style>
  <w:style w:type="paragraph" w:styleId="ListParagraph">
    <w:name w:val="List Paragraph"/>
    <w:basedOn w:val="Normal"/>
    <w:uiPriority w:val="34"/>
    <w:qFormat/>
    <w:rsid w:val="00E1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2107">
      <w:bodyDiv w:val="1"/>
      <w:marLeft w:val="0"/>
      <w:marRight w:val="0"/>
      <w:marTop w:val="0"/>
      <w:marBottom w:val="0"/>
      <w:divBdr>
        <w:top w:val="none" w:sz="0" w:space="0" w:color="auto"/>
        <w:left w:val="none" w:sz="0" w:space="0" w:color="auto"/>
        <w:bottom w:val="none" w:sz="0" w:space="0" w:color="auto"/>
        <w:right w:val="none" w:sz="0" w:space="0" w:color="auto"/>
      </w:divBdr>
      <w:divsChild>
        <w:div w:id="45106544">
          <w:marLeft w:val="0"/>
          <w:marRight w:val="0"/>
          <w:marTop w:val="0"/>
          <w:marBottom w:val="0"/>
          <w:divBdr>
            <w:top w:val="none" w:sz="0" w:space="0" w:color="auto"/>
            <w:left w:val="none" w:sz="0" w:space="0" w:color="auto"/>
            <w:bottom w:val="none" w:sz="0" w:space="0" w:color="auto"/>
            <w:right w:val="none" w:sz="0" w:space="0" w:color="auto"/>
          </w:divBdr>
        </w:div>
      </w:divsChild>
    </w:div>
    <w:div w:id="63798805">
      <w:bodyDiv w:val="1"/>
      <w:marLeft w:val="0"/>
      <w:marRight w:val="0"/>
      <w:marTop w:val="0"/>
      <w:marBottom w:val="0"/>
      <w:divBdr>
        <w:top w:val="none" w:sz="0" w:space="0" w:color="auto"/>
        <w:left w:val="none" w:sz="0" w:space="0" w:color="auto"/>
        <w:bottom w:val="none" w:sz="0" w:space="0" w:color="auto"/>
        <w:right w:val="none" w:sz="0" w:space="0" w:color="auto"/>
      </w:divBdr>
      <w:divsChild>
        <w:div w:id="1138188558">
          <w:marLeft w:val="0"/>
          <w:marRight w:val="0"/>
          <w:marTop w:val="0"/>
          <w:marBottom w:val="0"/>
          <w:divBdr>
            <w:top w:val="none" w:sz="0" w:space="0" w:color="auto"/>
            <w:left w:val="none" w:sz="0" w:space="0" w:color="auto"/>
            <w:bottom w:val="none" w:sz="0" w:space="0" w:color="auto"/>
            <w:right w:val="none" w:sz="0" w:space="0" w:color="auto"/>
          </w:divBdr>
        </w:div>
      </w:divsChild>
    </w:div>
    <w:div w:id="135995405">
      <w:bodyDiv w:val="1"/>
      <w:marLeft w:val="0"/>
      <w:marRight w:val="0"/>
      <w:marTop w:val="0"/>
      <w:marBottom w:val="0"/>
      <w:divBdr>
        <w:top w:val="none" w:sz="0" w:space="0" w:color="auto"/>
        <w:left w:val="none" w:sz="0" w:space="0" w:color="auto"/>
        <w:bottom w:val="none" w:sz="0" w:space="0" w:color="auto"/>
        <w:right w:val="none" w:sz="0" w:space="0" w:color="auto"/>
      </w:divBdr>
      <w:divsChild>
        <w:div w:id="134109364">
          <w:marLeft w:val="0"/>
          <w:marRight w:val="0"/>
          <w:marTop w:val="0"/>
          <w:marBottom w:val="0"/>
          <w:divBdr>
            <w:top w:val="none" w:sz="0" w:space="0" w:color="auto"/>
            <w:left w:val="none" w:sz="0" w:space="0" w:color="auto"/>
            <w:bottom w:val="none" w:sz="0" w:space="0" w:color="auto"/>
            <w:right w:val="none" w:sz="0" w:space="0" w:color="auto"/>
          </w:divBdr>
        </w:div>
      </w:divsChild>
    </w:div>
    <w:div w:id="145359544">
      <w:bodyDiv w:val="1"/>
      <w:marLeft w:val="0"/>
      <w:marRight w:val="0"/>
      <w:marTop w:val="0"/>
      <w:marBottom w:val="0"/>
      <w:divBdr>
        <w:top w:val="none" w:sz="0" w:space="0" w:color="auto"/>
        <w:left w:val="none" w:sz="0" w:space="0" w:color="auto"/>
        <w:bottom w:val="none" w:sz="0" w:space="0" w:color="auto"/>
        <w:right w:val="none" w:sz="0" w:space="0" w:color="auto"/>
      </w:divBdr>
      <w:divsChild>
        <w:div w:id="458307651">
          <w:marLeft w:val="0"/>
          <w:marRight w:val="0"/>
          <w:marTop w:val="0"/>
          <w:marBottom w:val="0"/>
          <w:divBdr>
            <w:top w:val="none" w:sz="0" w:space="0" w:color="auto"/>
            <w:left w:val="none" w:sz="0" w:space="0" w:color="auto"/>
            <w:bottom w:val="none" w:sz="0" w:space="0" w:color="auto"/>
            <w:right w:val="none" w:sz="0" w:space="0" w:color="auto"/>
          </w:divBdr>
        </w:div>
      </w:divsChild>
    </w:div>
    <w:div w:id="230117771">
      <w:bodyDiv w:val="1"/>
      <w:marLeft w:val="0"/>
      <w:marRight w:val="0"/>
      <w:marTop w:val="0"/>
      <w:marBottom w:val="0"/>
      <w:divBdr>
        <w:top w:val="none" w:sz="0" w:space="0" w:color="auto"/>
        <w:left w:val="none" w:sz="0" w:space="0" w:color="auto"/>
        <w:bottom w:val="none" w:sz="0" w:space="0" w:color="auto"/>
        <w:right w:val="none" w:sz="0" w:space="0" w:color="auto"/>
      </w:divBdr>
      <w:divsChild>
        <w:div w:id="806242853">
          <w:marLeft w:val="0"/>
          <w:marRight w:val="0"/>
          <w:marTop w:val="0"/>
          <w:marBottom w:val="0"/>
          <w:divBdr>
            <w:top w:val="none" w:sz="0" w:space="0" w:color="auto"/>
            <w:left w:val="none" w:sz="0" w:space="0" w:color="auto"/>
            <w:bottom w:val="none" w:sz="0" w:space="0" w:color="auto"/>
            <w:right w:val="none" w:sz="0" w:space="0" w:color="auto"/>
          </w:divBdr>
        </w:div>
      </w:divsChild>
    </w:div>
    <w:div w:id="236601322">
      <w:bodyDiv w:val="1"/>
      <w:marLeft w:val="0"/>
      <w:marRight w:val="0"/>
      <w:marTop w:val="0"/>
      <w:marBottom w:val="0"/>
      <w:divBdr>
        <w:top w:val="none" w:sz="0" w:space="0" w:color="auto"/>
        <w:left w:val="none" w:sz="0" w:space="0" w:color="auto"/>
        <w:bottom w:val="none" w:sz="0" w:space="0" w:color="auto"/>
        <w:right w:val="none" w:sz="0" w:space="0" w:color="auto"/>
      </w:divBdr>
      <w:divsChild>
        <w:div w:id="492916505">
          <w:marLeft w:val="0"/>
          <w:marRight w:val="0"/>
          <w:marTop w:val="0"/>
          <w:marBottom w:val="0"/>
          <w:divBdr>
            <w:top w:val="none" w:sz="0" w:space="0" w:color="auto"/>
            <w:left w:val="none" w:sz="0" w:space="0" w:color="auto"/>
            <w:bottom w:val="none" w:sz="0" w:space="0" w:color="auto"/>
            <w:right w:val="none" w:sz="0" w:space="0" w:color="auto"/>
          </w:divBdr>
        </w:div>
      </w:divsChild>
    </w:div>
    <w:div w:id="282880657">
      <w:bodyDiv w:val="1"/>
      <w:marLeft w:val="0"/>
      <w:marRight w:val="0"/>
      <w:marTop w:val="0"/>
      <w:marBottom w:val="0"/>
      <w:divBdr>
        <w:top w:val="none" w:sz="0" w:space="0" w:color="auto"/>
        <w:left w:val="none" w:sz="0" w:space="0" w:color="auto"/>
        <w:bottom w:val="none" w:sz="0" w:space="0" w:color="auto"/>
        <w:right w:val="none" w:sz="0" w:space="0" w:color="auto"/>
      </w:divBdr>
    </w:div>
    <w:div w:id="3023217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72">
          <w:marLeft w:val="0"/>
          <w:marRight w:val="0"/>
          <w:marTop w:val="0"/>
          <w:marBottom w:val="0"/>
          <w:divBdr>
            <w:top w:val="none" w:sz="0" w:space="0" w:color="auto"/>
            <w:left w:val="none" w:sz="0" w:space="0" w:color="auto"/>
            <w:bottom w:val="none" w:sz="0" w:space="0" w:color="auto"/>
            <w:right w:val="none" w:sz="0" w:space="0" w:color="auto"/>
          </w:divBdr>
        </w:div>
      </w:divsChild>
    </w:div>
    <w:div w:id="316762054">
      <w:bodyDiv w:val="1"/>
      <w:marLeft w:val="0"/>
      <w:marRight w:val="0"/>
      <w:marTop w:val="0"/>
      <w:marBottom w:val="0"/>
      <w:divBdr>
        <w:top w:val="none" w:sz="0" w:space="0" w:color="auto"/>
        <w:left w:val="none" w:sz="0" w:space="0" w:color="auto"/>
        <w:bottom w:val="none" w:sz="0" w:space="0" w:color="auto"/>
        <w:right w:val="none" w:sz="0" w:space="0" w:color="auto"/>
      </w:divBdr>
      <w:divsChild>
        <w:div w:id="124743104">
          <w:marLeft w:val="0"/>
          <w:marRight w:val="0"/>
          <w:marTop w:val="0"/>
          <w:marBottom w:val="0"/>
          <w:divBdr>
            <w:top w:val="none" w:sz="0" w:space="0" w:color="auto"/>
            <w:left w:val="none" w:sz="0" w:space="0" w:color="auto"/>
            <w:bottom w:val="none" w:sz="0" w:space="0" w:color="auto"/>
            <w:right w:val="none" w:sz="0" w:space="0" w:color="auto"/>
          </w:divBdr>
        </w:div>
      </w:divsChild>
    </w:div>
    <w:div w:id="327949880">
      <w:bodyDiv w:val="1"/>
      <w:marLeft w:val="0"/>
      <w:marRight w:val="0"/>
      <w:marTop w:val="0"/>
      <w:marBottom w:val="0"/>
      <w:divBdr>
        <w:top w:val="none" w:sz="0" w:space="0" w:color="auto"/>
        <w:left w:val="none" w:sz="0" w:space="0" w:color="auto"/>
        <w:bottom w:val="none" w:sz="0" w:space="0" w:color="auto"/>
        <w:right w:val="none" w:sz="0" w:space="0" w:color="auto"/>
      </w:divBdr>
      <w:divsChild>
        <w:div w:id="505480106">
          <w:marLeft w:val="0"/>
          <w:marRight w:val="0"/>
          <w:marTop w:val="0"/>
          <w:marBottom w:val="0"/>
          <w:divBdr>
            <w:top w:val="none" w:sz="0" w:space="0" w:color="auto"/>
            <w:left w:val="none" w:sz="0" w:space="0" w:color="auto"/>
            <w:bottom w:val="none" w:sz="0" w:space="0" w:color="auto"/>
            <w:right w:val="none" w:sz="0" w:space="0" w:color="auto"/>
          </w:divBdr>
        </w:div>
      </w:divsChild>
    </w:div>
    <w:div w:id="364141491">
      <w:bodyDiv w:val="1"/>
      <w:marLeft w:val="0"/>
      <w:marRight w:val="0"/>
      <w:marTop w:val="0"/>
      <w:marBottom w:val="0"/>
      <w:divBdr>
        <w:top w:val="none" w:sz="0" w:space="0" w:color="auto"/>
        <w:left w:val="none" w:sz="0" w:space="0" w:color="auto"/>
        <w:bottom w:val="none" w:sz="0" w:space="0" w:color="auto"/>
        <w:right w:val="none" w:sz="0" w:space="0" w:color="auto"/>
      </w:divBdr>
      <w:divsChild>
        <w:div w:id="1448431872">
          <w:marLeft w:val="0"/>
          <w:marRight w:val="0"/>
          <w:marTop w:val="0"/>
          <w:marBottom w:val="0"/>
          <w:divBdr>
            <w:top w:val="none" w:sz="0" w:space="0" w:color="auto"/>
            <w:left w:val="none" w:sz="0" w:space="0" w:color="auto"/>
            <w:bottom w:val="none" w:sz="0" w:space="0" w:color="auto"/>
            <w:right w:val="none" w:sz="0" w:space="0" w:color="auto"/>
          </w:divBdr>
        </w:div>
      </w:divsChild>
    </w:div>
    <w:div w:id="398864641">
      <w:bodyDiv w:val="1"/>
      <w:marLeft w:val="0"/>
      <w:marRight w:val="0"/>
      <w:marTop w:val="0"/>
      <w:marBottom w:val="0"/>
      <w:divBdr>
        <w:top w:val="none" w:sz="0" w:space="0" w:color="auto"/>
        <w:left w:val="none" w:sz="0" w:space="0" w:color="auto"/>
        <w:bottom w:val="none" w:sz="0" w:space="0" w:color="auto"/>
        <w:right w:val="none" w:sz="0" w:space="0" w:color="auto"/>
      </w:divBdr>
      <w:divsChild>
        <w:div w:id="37899393">
          <w:marLeft w:val="0"/>
          <w:marRight w:val="0"/>
          <w:marTop w:val="0"/>
          <w:marBottom w:val="0"/>
          <w:divBdr>
            <w:top w:val="none" w:sz="0" w:space="0" w:color="auto"/>
            <w:left w:val="none" w:sz="0" w:space="0" w:color="auto"/>
            <w:bottom w:val="none" w:sz="0" w:space="0" w:color="auto"/>
            <w:right w:val="none" w:sz="0" w:space="0" w:color="auto"/>
          </w:divBdr>
        </w:div>
      </w:divsChild>
    </w:div>
    <w:div w:id="414981306">
      <w:bodyDiv w:val="1"/>
      <w:marLeft w:val="0"/>
      <w:marRight w:val="0"/>
      <w:marTop w:val="0"/>
      <w:marBottom w:val="0"/>
      <w:divBdr>
        <w:top w:val="none" w:sz="0" w:space="0" w:color="auto"/>
        <w:left w:val="none" w:sz="0" w:space="0" w:color="auto"/>
        <w:bottom w:val="none" w:sz="0" w:space="0" w:color="auto"/>
        <w:right w:val="none" w:sz="0" w:space="0" w:color="auto"/>
      </w:divBdr>
    </w:div>
    <w:div w:id="515580723">
      <w:bodyDiv w:val="1"/>
      <w:marLeft w:val="0"/>
      <w:marRight w:val="0"/>
      <w:marTop w:val="0"/>
      <w:marBottom w:val="0"/>
      <w:divBdr>
        <w:top w:val="none" w:sz="0" w:space="0" w:color="auto"/>
        <w:left w:val="none" w:sz="0" w:space="0" w:color="auto"/>
        <w:bottom w:val="none" w:sz="0" w:space="0" w:color="auto"/>
        <w:right w:val="none" w:sz="0" w:space="0" w:color="auto"/>
      </w:divBdr>
      <w:divsChild>
        <w:div w:id="761530856">
          <w:marLeft w:val="0"/>
          <w:marRight w:val="0"/>
          <w:marTop w:val="0"/>
          <w:marBottom w:val="0"/>
          <w:divBdr>
            <w:top w:val="none" w:sz="0" w:space="0" w:color="auto"/>
            <w:left w:val="none" w:sz="0" w:space="0" w:color="auto"/>
            <w:bottom w:val="none" w:sz="0" w:space="0" w:color="auto"/>
            <w:right w:val="none" w:sz="0" w:space="0" w:color="auto"/>
          </w:divBdr>
        </w:div>
      </w:divsChild>
    </w:div>
    <w:div w:id="547031932">
      <w:bodyDiv w:val="1"/>
      <w:marLeft w:val="0"/>
      <w:marRight w:val="0"/>
      <w:marTop w:val="0"/>
      <w:marBottom w:val="0"/>
      <w:divBdr>
        <w:top w:val="none" w:sz="0" w:space="0" w:color="auto"/>
        <w:left w:val="none" w:sz="0" w:space="0" w:color="auto"/>
        <w:bottom w:val="none" w:sz="0" w:space="0" w:color="auto"/>
        <w:right w:val="none" w:sz="0" w:space="0" w:color="auto"/>
      </w:divBdr>
      <w:divsChild>
        <w:div w:id="729812824">
          <w:marLeft w:val="0"/>
          <w:marRight w:val="0"/>
          <w:marTop w:val="0"/>
          <w:marBottom w:val="0"/>
          <w:divBdr>
            <w:top w:val="none" w:sz="0" w:space="0" w:color="auto"/>
            <w:left w:val="none" w:sz="0" w:space="0" w:color="auto"/>
            <w:bottom w:val="none" w:sz="0" w:space="0" w:color="auto"/>
            <w:right w:val="none" w:sz="0" w:space="0" w:color="auto"/>
          </w:divBdr>
        </w:div>
      </w:divsChild>
    </w:div>
    <w:div w:id="547226620">
      <w:bodyDiv w:val="1"/>
      <w:marLeft w:val="0"/>
      <w:marRight w:val="0"/>
      <w:marTop w:val="0"/>
      <w:marBottom w:val="0"/>
      <w:divBdr>
        <w:top w:val="none" w:sz="0" w:space="0" w:color="auto"/>
        <w:left w:val="none" w:sz="0" w:space="0" w:color="auto"/>
        <w:bottom w:val="none" w:sz="0" w:space="0" w:color="auto"/>
        <w:right w:val="none" w:sz="0" w:space="0" w:color="auto"/>
      </w:divBdr>
      <w:divsChild>
        <w:div w:id="866136111">
          <w:marLeft w:val="0"/>
          <w:marRight w:val="0"/>
          <w:marTop w:val="0"/>
          <w:marBottom w:val="0"/>
          <w:divBdr>
            <w:top w:val="none" w:sz="0" w:space="0" w:color="auto"/>
            <w:left w:val="none" w:sz="0" w:space="0" w:color="auto"/>
            <w:bottom w:val="none" w:sz="0" w:space="0" w:color="auto"/>
            <w:right w:val="none" w:sz="0" w:space="0" w:color="auto"/>
          </w:divBdr>
        </w:div>
      </w:divsChild>
    </w:div>
    <w:div w:id="685251097">
      <w:bodyDiv w:val="1"/>
      <w:marLeft w:val="0"/>
      <w:marRight w:val="0"/>
      <w:marTop w:val="0"/>
      <w:marBottom w:val="0"/>
      <w:divBdr>
        <w:top w:val="none" w:sz="0" w:space="0" w:color="auto"/>
        <w:left w:val="none" w:sz="0" w:space="0" w:color="auto"/>
        <w:bottom w:val="none" w:sz="0" w:space="0" w:color="auto"/>
        <w:right w:val="none" w:sz="0" w:space="0" w:color="auto"/>
      </w:divBdr>
      <w:divsChild>
        <w:div w:id="1762412720">
          <w:marLeft w:val="0"/>
          <w:marRight w:val="0"/>
          <w:marTop w:val="0"/>
          <w:marBottom w:val="0"/>
          <w:divBdr>
            <w:top w:val="none" w:sz="0" w:space="0" w:color="auto"/>
            <w:left w:val="none" w:sz="0" w:space="0" w:color="auto"/>
            <w:bottom w:val="none" w:sz="0" w:space="0" w:color="auto"/>
            <w:right w:val="none" w:sz="0" w:space="0" w:color="auto"/>
          </w:divBdr>
        </w:div>
      </w:divsChild>
    </w:div>
    <w:div w:id="708917544">
      <w:bodyDiv w:val="1"/>
      <w:marLeft w:val="0"/>
      <w:marRight w:val="0"/>
      <w:marTop w:val="0"/>
      <w:marBottom w:val="0"/>
      <w:divBdr>
        <w:top w:val="none" w:sz="0" w:space="0" w:color="auto"/>
        <w:left w:val="none" w:sz="0" w:space="0" w:color="auto"/>
        <w:bottom w:val="none" w:sz="0" w:space="0" w:color="auto"/>
        <w:right w:val="none" w:sz="0" w:space="0" w:color="auto"/>
      </w:divBdr>
      <w:divsChild>
        <w:div w:id="1344748726">
          <w:marLeft w:val="0"/>
          <w:marRight w:val="0"/>
          <w:marTop w:val="0"/>
          <w:marBottom w:val="0"/>
          <w:divBdr>
            <w:top w:val="none" w:sz="0" w:space="0" w:color="auto"/>
            <w:left w:val="none" w:sz="0" w:space="0" w:color="auto"/>
            <w:bottom w:val="none" w:sz="0" w:space="0" w:color="auto"/>
            <w:right w:val="none" w:sz="0" w:space="0" w:color="auto"/>
          </w:divBdr>
        </w:div>
      </w:divsChild>
    </w:div>
    <w:div w:id="861749244">
      <w:bodyDiv w:val="1"/>
      <w:marLeft w:val="0"/>
      <w:marRight w:val="0"/>
      <w:marTop w:val="0"/>
      <w:marBottom w:val="0"/>
      <w:divBdr>
        <w:top w:val="none" w:sz="0" w:space="0" w:color="auto"/>
        <w:left w:val="none" w:sz="0" w:space="0" w:color="auto"/>
        <w:bottom w:val="none" w:sz="0" w:space="0" w:color="auto"/>
        <w:right w:val="none" w:sz="0" w:space="0" w:color="auto"/>
      </w:divBdr>
      <w:divsChild>
        <w:div w:id="71045936">
          <w:marLeft w:val="0"/>
          <w:marRight w:val="0"/>
          <w:marTop w:val="0"/>
          <w:marBottom w:val="0"/>
          <w:divBdr>
            <w:top w:val="none" w:sz="0" w:space="0" w:color="auto"/>
            <w:left w:val="none" w:sz="0" w:space="0" w:color="auto"/>
            <w:bottom w:val="none" w:sz="0" w:space="0" w:color="auto"/>
            <w:right w:val="none" w:sz="0" w:space="0" w:color="auto"/>
          </w:divBdr>
        </w:div>
      </w:divsChild>
    </w:div>
    <w:div w:id="874463604">
      <w:bodyDiv w:val="1"/>
      <w:marLeft w:val="0"/>
      <w:marRight w:val="0"/>
      <w:marTop w:val="0"/>
      <w:marBottom w:val="0"/>
      <w:divBdr>
        <w:top w:val="none" w:sz="0" w:space="0" w:color="auto"/>
        <w:left w:val="none" w:sz="0" w:space="0" w:color="auto"/>
        <w:bottom w:val="none" w:sz="0" w:space="0" w:color="auto"/>
        <w:right w:val="none" w:sz="0" w:space="0" w:color="auto"/>
      </w:divBdr>
      <w:divsChild>
        <w:div w:id="671955656">
          <w:marLeft w:val="0"/>
          <w:marRight w:val="0"/>
          <w:marTop w:val="0"/>
          <w:marBottom w:val="0"/>
          <w:divBdr>
            <w:top w:val="none" w:sz="0" w:space="0" w:color="auto"/>
            <w:left w:val="none" w:sz="0" w:space="0" w:color="auto"/>
            <w:bottom w:val="none" w:sz="0" w:space="0" w:color="auto"/>
            <w:right w:val="none" w:sz="0" w:space="0" w:color="auto"/>
          </w:divBdr>
        </w:div>
      </w:divsChild>
    </w:div>
    <w:div w:id="925306847">
      <w:bodyDiv w:val="1"/>
      <w:marLeft w:val="0"/>
      <w:marRight w:val="0"/>
      <w:marTop w:val="0"/>
      <w:marBottom w:val="0"/>
      <w:divBdr>
        <w:top w:val="none" w:sz="0" w:space="0" w:color="auto"/>
        <w:left w:val="none" w:sz="0" w:space="0" w:color="auto"/>
        <w:bottom w:val="none" w:sz="0" w:space="0" w:color="auto"/>
        <w:right w:val="none" w:sz="0" w:space="0" w:color="auto"/>
      </w:divBdr>
      <w:divsChild>
        <w:div w:id="841822573">
          <w:marLeft w:val="0"/>
          <w:marRight w:val="0"/>
          <w:marTop w:val="0"/>
          <w:marBottom w:val="0"/>
          <w:divBdr>
            <w:top w:val="none" w:sz="0" w:space="0" w:color="auto"/>
            <w:left w:val="none" w:sz="0" w:space="0" w:color="auto"/>
            <w:bottom w:val="none" w:sz="0" w:space="0" w:color="auto"/>
            <w:right w:val="none" w:sz="0" w:space="0" w:color="auto"/>
          </w:divBdr>
        </w:div>
      </w:divsChild>
    </w:div>
    <w:div w:id="937761022">
      <w:bodyDiv w:val="1"/>
      <w:marLeft w:val="0"/>
      <w:marRight w:val="0"/>
      <w:marTop w:val="0"/>
      <w:marBottom w:val="0"/>
      <w:divBdr>
        <w:top w:val="none" w:sz="0" w:space="0" w:color="auto"/>
        <w:left w:val="none" w:sz="0" w:space="0" w:color="auto"/>
        <w:bottom w:val="none" w:sz="0" w:space="0" w:color="auto"/>
        <w:right w:val="none" w:sz="0" w:space="0" w:color="auto"/>
      </w:divBdr>
      <w:divsChild>
        <w:div w:id="2056420706">
          <w:marLeft w:val="0"/>
          <w:marRight w:val="0"/>
          <w:marTop w:val="0"/>
          <w:marBottom w:val="0"/>
          <w:divBdr>
            <w:top w:val="none" w:sz="0" w:space="0" w:color="auto"/>
            <w:left w:val="none" w:sz="0" w:space="0" w:color="auto"/>
            <w:bottom w:val="none" w:sz="0" w:space="0" w:color="auto"/>
            <w:right w:val="none" w:sz="0" w:space="0" w:color="auto"/>
          </w:divBdr>
        </w:div>
      </w:divsChild>
    </w:div>
    <w:div w:id="958293805">
      <w:bodyDiv w:val="1"/>
      <w:marLeft w:val="0"/>
      <w:marRight w:val="0"/>
      <w:marTop w:val="0"/>
      <w:marBottom w:val="0"/>
      <w:divBdr>
        <w:top w:val="none" w:sz="0" w:space="0" w:color="auto"/>
        <w:left w:val="none" w:sz="0" w:space="0" w:color="auto"/>
        <w:bottom w:val="none" w:sz="0" w:space="0" w:color="auto"/>
        <w:right w:val="none" w:sz="0" w:space="0" w:color="auto"/>
      </w:divBdr>
      <w:divsChild>
        <w:div w:id="879783682">
          <w:marLeft w:val="0"/>
          <w:marRight w:val="0"/>
          <w:marTop w:val="0"/>
          <w:marBottom w:val="0"/>
          <w:divBdr>
            <w:top w:val="none" w:sz="0" w:space="0" w:color="auto"/>
            <w:left w:val="none" w:sz="0" w:space="0" w:color="auto"/>
            <w:bottom w:val="none" w:sz="0" w:space="0" w:color="auto"/>
            <w:right w:val="none" w:sz="0" w:space="0" w:color="auto"/>
          </w:divBdr>
        </w:div>
      </w:divsChild>
    </w:div>
    <w:div w:id="1014376596">
      <w:bodyDiv w:val="1"/>
      <w:marLeft w:val="0"/>
      <w:marRight w:val="0"/>
      <w:marTop w:val="0"/>
      <w:marBottom w:val="0"/>
      <w:divBdr>
        <w:top w:val="none" w:sz="0" w:space="0" w:color="auto"/>
        <w:left w:val="none" w:sz="0" w:space="0" w:color="auto"/>
        <w:bottom w:val="none" w:sz="0" w:space="0" w:color="auto"/>
        <w:right w:val="none" w:sz="0" w:space="0" w:color="auto"/>
      </w:divBdr>
      <w:divsChild>
        <w:div w:id="1761222333">
          <w:marLeft w:val="0"/>
          <w:marRight w:val="0"/>
          <w:marTop w:val="0"/>
          <w:marBottom w:val="0"/>
          <w:divBdr>
            <w:top w:val="none" w:sz="0" w:space="0" w:color="auto"/>
            <w:left w:val="none" w:sz="0" w:space="0" w:color="auto"/>
            <w:bottom w:val="none" w:sz="0" w:space="0" w:color="auto"/>
            <w:right w:val="none" w:sz="0" w:space="0" w:color="auto"/>
          </w:divBdr>
        </w:div>
      </w:divsChild>
    </w:div>
    <w:div w:id="1055084629">
      <w:bodyDiv w:val="1"/>
      <w:marLeft w:val="0"/>
      <w:marRight w:val="0"/>
      <w:marTop w:val="0"/>
      <w:marBottom w:val="0"/>
      <w:divBdr>
        <w:top w:val="none" w:sz="0" w:space="0" w:color="auto"/>
        <w:left w:val="none" w:sz="0" w:space="0" w:color="auto"/>
        <w:bottom w:val="none" w:sz="0" w:space="0" w:color="auto"/>
        <w:right w:val="none" w:sz="0" w:space="0" w:color="auto"/>
      </w:divBdr>
      <w:divsChild>
        <w:div w:id="1329404187">
          <w:marLeft w:val="0"/>
          <w:marRight w:val="0"/>
          <w:marTop w:val="0"/>
          <w:marBottom w:val="0"/>
          <w:divBdr>
            <w:top w:val="none" w:sz="0" w:space="0" w:color="auto"/>
            <w:left w:val="none" w:sz="0" w:space="0" w:color="auto"/>
            <w:bottom w:val="none" w:sz="0" w:space="0" w:color="auto"/>
            <w:right w:val="none" w:sz="0" w:space="0" w:color="auto"/>
          </w:divBdr>
        </w:div>
      </w:divsChild>
    </w:div>
    <w:div w:id="1105728123">
      <w:bodyDiv w:val="1"/>
      <w:marLeft w:val="0"/>
      <w:marRight w:val="0"/>
      <w:marTop w:val="0"/>
      <w:marBottom w:val="0"/>
      <w:divBdr>
        <w:top w:val="none" w:sz="0" w:space="0" w:color="auto"/>
        <w:left w:val="none" w:sz="0" w:space="0" w:color="auto"/>
        <w:bottom w:val="none" w:sz="0" w:space="0" w:color="auto"/>
        <w:right w:val="none" w:sz="0" w:space="0" w:color="auto"/>
      </w:divBdr>
      <w:divsChild>
        <w:div w:id="380833227">
          <w:marLeft w:val="0"/>
          <w:marRight w:val="0"/>
          <w:marTop w:val="0"/>
          <w:marBottom w:val="0"/>
          <w:divBdr>
            <w:top w:val="none" w:sz="0" w:space="0" w:color="auto"/>
            <w:left w:val="none" w:sz="0" w:space="0" w:color="auto"/>
            <w:bottom w:val="none" w:sz="0" w:space="0" w:color="auto"/>
            <w:right w:val="none" w:sz="0" w:space="0" w:color="auto"/>
          </w:divBdr>
        </w:div>
      </w:divsChild>
    </w:div>
    <w:div w:id="1116602639">
      <w:bodyDiv w:val="1"/>
      <w:marLeft w:val="0"/>
      <w:marRight w:val="0"/>
      <w:marTop w:val="0"/>
      <w:marBottom w:val="0"/>
      <w:divBdr>
        <w:top w:val="none" w:sz="0" w:space="0" w:color="auto"/>
        <w:left w:val="none" w:sz="0" w:space="0" w:color="auto"/>
        <w:bottom w:val="none" w:sz="0" w:space="0" w:color="auto"/>
        <w:right w:val="none" w:sz="0" w:space="0" w:color="auto"/>
      </w:divBdr>
      <w:divsChild>
        <w:div w:id="1149908767">
          <w:marLeft w:val="0"/>
          <w:marRight w:val="0"/>
          <w:marTop w:val="0"/>
          <w:marBottom w:val="0"/>
          <w:divBdr>
            <w:top w:val="none" w:sz="0" w:space="0" w:color="auto"/>
            <w:left w:val="none" w:sz="0" w:space="0" w:color="auto"/>
            <w:bottom w:val="none" w:sz="0" w:space="0" w:color="auto"/>
            <w:right w:val="none" w:sz="0" w:space="0" w:color="auto"/>
          </w:divBdr>
        </w:div>
      </w:divsChild>
    </w:div>
    <w:div w:id="1124737795">
      <w:bodyDiv w:val="1"/>
      <w:marLeft w:val="0"/>
      <w:marRight w:val="0"/>
      <w:marTop w:val="0"/>
      <w:marBottom w:val="0"/>
      <w:divBdr>
        <w:top w:val="none" w:sz="0" w:space="0" w:color="auto"/>
        <w:left w:val="none" w:sz="0" w:space="0" w:color="auto"/>
        <w:bottom w:val="none" w:sz="0" w:space="0" w:color="auto"/>
        <w:right w:val="none" w:sz="0" w:space="0" w:color="auto"/>
      </w:divBdr>
      <w:divsChild>
        <w:div w:id="2128156635">
          <w:marLeft w:val="0"/>
          <w:marRight w:val="0"/>
          <w:marTop w:val="0"/>
          <w:marBottom w:val="0"/>
          <w:divBdr>
            <w:top w:val="none" w:sz="0" w:space="0" w:color="auto"/>
            <w:left w:val="none" w:sz="0" w:space="0" w:color="auto"/>
            <w:bottom w:val="none" w:sz="0" w:space="0" w:color="auto"/>
            <w:right w:val="none" w:sz="0" w:space="0" w:color="auto"/>
          </w:divBdr>
        </w:div>
      </w:divsChild>
    </w:div>
    <w:div w:id="1130855822">
      <w:bodyDiv w:val="1"/>
      <w:marLeft w:val="0"/>
      <w:marRight w:val="0"/>
      <w:marTop w:val="0"/>
      <w:marBottom w:val="0"/>
      <w:divBdr>
        <w:top w:val="none" w:sz="0" w:space="0" w:color="auto"/>
        <w:left w:val="none" w:sz="0" w:space="0" w:color="auto"/>
        <w:bottom w:val="none" w:sz="0" w:space="0" w:color="auto"/>
        <w:right w:val="none" w:sz="0" w:space="0" w:color="auto"/>
      </w:divBdr>
      <w:divsChild>
        <w:div w:id="254747382">
          <w:marLeft w:val="0"/>
          <w:marRight w:val="0"/>
          <w:marTop w:val="0"/>
          <w:marBottom w:val="0"/>
          <w:divBdr>
            <w:top w:val="none" w:sz="0" w:space="0" w:color="auto"/>
            <w:left w:val="none" w:sz="0" w:space="0" w:color="auto"/>
            <w:bottom w:val="none" w:sz="0" w:space="0" w:color="auto"/>
            <w:right w:val="none" w:sz="0" w:space="0" w:color="auto"/>
          </w:divBdr>
        </w:div>
      </w:divsChild>
    </w:div>
    <w:div w:id="1139955666">
      <w:bodyDiv w:val="1"/>
      <w:marLeft w:val="0"/>
      <w:marRight w:val="0"/>
      <w:marTop w:val="0"/>
      <w:marBottom w:val="0"/>
      <w:divBdr>
        <w:top w:val="none" w:sz="0" w:space="0" w:color="auto"/>
        <w:left w:val="none" w:sz="0" w:space="0" w:color="auto"/>
        <w:bottom w:val="none" w:sz="0" w:space="0" w:color="auto"/>
        <w:right w:val="none" w:sz="0" w:space="0" w:color="auto"/>
      </w:divBdr>
      <w:divsChild>
        <w:div w:id="1310399388">
          <w:marLeft w:val="0"/>
          <w:marRight w:val="0"/>
          <w:marTop w:val="0"/>
          <w:marBottom w:val="0"/>
          <w:divBdr>
            <w:top w:val="none" w:sz="0" w:space="0" w:color="auto"/>
            <w:left w:val="none" w:sz="0" w:space="0" w:color="auto"/>
            <w:bottom w:val="none" w:sz="0" w:space="0" w:color="auto"/>
            <w:right w:val="none" w:sz="0" w:space="0" w:color="auto"/>
          </w:divBdr>
        </w:div>
      </w:divsChild>
    </w:div>
    <w:div w:id="1252742365">
      <w:bodyDiv w:val="1"/>
      <w:marLeft w:val="0"/>
      <w:marRight w:val="0"/>
      <w:marTop w:val="0"/>
      <w:marBottom w:val="0"/>
      <w:divBdr>
        <w:top w:val="none" w:sz="0" w:space="0" w:color="auto"/>
        <w:left w:val="none" w:sz="0" w:space="0" w:color="auto"/>
        <w:bottom w:val="none" w:sz="0" w:space="0" w:color="auto"/>
        <w:right w:val="none" w:sz="0" w:space="0" w:color="auto"/>
      </w:divBdr>
      <w:divsChild>
        <w:div w:id="1630742232">
          <w:marLeft w:val="0"/>
          <w:marRight w:val="0"/>
          <w:marTop w:val="0"/>
          <w:marBottom w:val="0"/>
          <w:divBdr>
            <w:top w:val="none" w:sz="0" w:space="0" w:color="auto"/>
            <w:left w:val="none" w:sz="0" w:space="0" w:color="auto"/>
            <w:bottom w:val="none" w:sz="0" w:space="0" w:color="auto"/>
            <w:right w:val="none" w:sz="0" w:space="0" w:color="auto"/>
          </w:divBdr>
        </w:div>
      </w:divsChild>
    </w:div>
    <w:div w:id="1317343341">
      <w:bodyDiv w:val="1"/>
      <w:marLeft w:val="0"/>
      <w:marRight w:val="0"/>
      <w:marTop w:val="0"/>
      <w:marBottom w:val="0"/>
      <w:divBdr>
        <w:top w:val="none" w:sz="0" w:space="0" w:color="auto"/>
        <w:left w:val="none" w:sz="0" w:space="0" w:color="auto"/>
        <w:bottom w:val="none" w:sz="0" w:space="0" w:color="auto"/>
        <w:right w:val="none" w:sz="0" w:space="0" w:color="auto"/>
      </w:divBdr>
      <w:divsChild>
        <w:div w:id="1905024549">
          <w:marLeft w:val="0"/>
          <w:marRight w:val="0"/>
          <w:marTop w:val="0"/>
          <w:marBottom w:val="0"/>
          <w:divBdr>
            <w:top w:val="none" w:sz="0" w:space="0" w:color="auto"/>
            <w:left w:val="none" w:sz="0" w:space="0" w:color="auto"/>
            <w:bottom w:val="none" w:sz="0" w:space="0" w:color="auto"/>
            <w:right w:val="none" w:sz="0" w:space="0" w:color="auto"/>
          </w:divBdr>
        </w:div>
      </w:divsChild>
    </w:div>
    <w:div w:id="1328552524">
      <w:bodyDiv w:val="1"/>
      <w:marLeft w:val="0"/>
      <w:marRight w:val="0"/>
      <w:marTop w:val="0"/>
      <w:marBottom w:val="0"/>
      <w:divBdr>
        <w:top w:val="none" w:sz="0" w:space="0" w:color="auto"/>
        <w:left w:val="none" w:sz="0" w:space="0" w:color="auto"/>
        <w:bottom w:val="none" w:sz="0" w:space="0" w:color="auto"/>
        <w:right w:val="none" w:sz="0" w:space="0" w:color="auto"/>
      </w:divBdr>
      <w:divsChild>
        <w:div w:id="748186867">
          <w:marLeft w:val="0"/>
          <w:marRight w:val="0"/>
          <w:marTop w:val="0"/>
          <w:marBottom w:val="0"/>
          <w:divBdr>
            <w:top w:val="none" w:sz="0" w:space="0" w:color="auto"/>
            <w:left w:val="none" w:sz="0" w:space="0" w:color="auto"/>
            <w:bottom w:val="none" w:sz="0" w:space="0" w:color="auto"/>
            <w:right w:val="none" w:sz="0" w:space="0" w:color="auto"/>
          </w:divBdr>
        </w:div>
      </w:divsChild>
    </w:div>
    <w:div w:id="1384064575">
      <w:bodyDiv w:val="1"/>
      <w:marLeft w:val="0"/>
      <w:marRight w:val="0"/>
      <w:marTop w:val="0"/>
      <w:marBottom w:val="0"/>
      <w:divBdr>
        <w:top w:val="none" w:sz="0" w:space="0" w:color="auto"/>
        <w:left w:val="none" w:sz="0" w:space="0" w:color="auto"/>
        <w:bottom w:val="none" w:sz="0" w:space="0" w:color="auto"/>
        <w:right w:val="none" w:sz="0" w:space="0" w:color="auto"/>
      </w:divBdr>
      <w:divsChild>
        <w:div w:id="2130396801">
          <w:marLeft w:val="0"/>
          <w:marRight w:val="0"/>
          <w:marTop w:val="0"/>
          <w:marBottom w:val="0"/>
          <w:divBdr>
            <w:top w:val="none" w:sz="0" w:space="0" w:color="auto"/>
            <w:left w:val="none" w:sz="0" w:space="0" w:color="auto"/>
            <w:bottom w:val="none" w:sz="0" w:space="0" w:color="auto"/>
            <w:right w:val="none" w:sz="0" w:space="0" w:color="auto"/>
          </w:divBdr>
        </w:div>
      </w:divsChild>
    </w:div>
    <w:div w:id="1391345957">
      <w:bodyDiv w:val="1"/>
      <w:marLeft w:val="0"/>
      <w:marRight w:val="0"/>
      <w:marTop w:val="0"/>
      <w:marBottom w:val="0"/>
      <w:divBdr>
        <w:top w:val="none" w:sz="0" w:space="0" w:color="auto"/>
        <w:left w:val="none" w:sz="0" w:space="0" w:color="auto"/>
        <w:bottom w:val="none" w:sz="0" w:space="0" w:color="auto"/>
        <w:right w:val="none" w:sz="0" w:space="0" w:color="auto"/>
      </w:divBdr>
      <w:divsChild>
        <w:div w:id="1690714746">
          <w:marLeft w:val="0"/>
          <w:marRight w:val="0"/>
          <w:marTop w:val="0"/>
          <w:marBottom w:val="0"/>
          <w:divBdr>
            <w:top w:val="none" w:sz="0" w:space="0" w:color="auto"/>
            <w:left w:val="none" w:sz="0" w:space="0" w:color="auto"/>
            <w:bottom w:val="none" w:sz="0" w:space="0" w:color="auto"/>
            <w:right w:val="none" w:sz="0" w:space="0" w:color="auto"/>
          </w:divBdr>
        </w:div>
      </w:divsChild>
    </w:div>
    <w:div w:id="1418943027">
      <w:bodyDiv w:val="1"/>
      <w:marLeft w:val="0"/>
      <w:marRight w:val="0"/>
      <w:marTop w:val="0"/>
      <w:marBottom w:val="0"/>
      <w:divBdr>
        <w:top w:val="none" w:sz="0" w:space="0" w:color="auto"/>
        <w:left w:val="none" w:sz="0" w:space="0" w:color="auto"/>
        <w:bottom w:val="none" w:sz="0" w:space="0" w:color="auto"/>
        <w:right w:val="none" w:sz="0" w:space="0" w:color="auto"/>
      </w:divBdr>
      <w:divsChild>
        <w:div w:id="125397705">
          <w:marLeft w:val="0"/>
          <w:marRight w:val="0"/>
          <w:marTop w:val="0"/>
          <w:marBottom w:val="0"/>
          <w:divBdr>
            <w:top w:val="none" w:sz="0" w:space="0" w:color="auto"/>
            <w:left w:val="none" w:sz="0" w:space="0" w:color="auto"/>
            <w:bottom w:val="none" w:sz="0" w:space="0" w:color="auto"/>
            <w:right w:val="none" w:sz="0" w:space="0" w:color="auto"/>
          </w:divBdr>
        </w:div>
      </w:divsChild>
    </w:div>
    <w:div w:id="1425683872">
      <w:bodyDiv w:val="1"/>
      <w:marLeft w:val="0"/>
      <w:marRight w:val="0"/>
      <w:marTop w:val="0"/>
      <w:marBottom w:val="0"/>
      <w:divBdr>
        <w:top w:val="none" w:sz="0" w:space="0" w:color="auto"/>
        <w:left w:val="none" w:sz="0" w:space="0" w:color="auto"/>
        <w:bottom w:val="none" w:sz="0" w:space="0" w:color="auto"/>
        <w:right w:val="none" w:sz="0" w:space="0" w:color="auto"/>
      </w:divBdr>
      <w:divsChild>
        <w:div w:id="1425567267">
          <w:marLeft w:val="0"/>
          <w:marRight w:val="0"/>
          <w:marTop w:val="0"/>
          <w:marBottom w:val="0"/>
          <w:divBdr>
            <w:top w:val="none" w:sz="0" w:space="0" w:color="auto"/>
            <w:left w:val="none" w:sz="0" w:space="0" w:color="auto"/>
            <w:bottom w:val="none" w:sz="0" w:space="0" w:color="auto"/>
            <w:right w:val="none" w:sz="0" w:space="0" w:color="auto"/>
          </w:divBdr>
        </w:div>
      </w:divsChild>
    </w:div>
    <w:div w:id="1668291912">
      <w:bodyDiv w:val="1"/>
      <w:marLeft w:val="0"/>
      <w:marRight w:val="0"/>
      <w:marTop w:val="0"/>
      <w:marBottom w:val="0"/>
      <w:divBdr>
        <w:top w:val="none" w:sz="0" w:space="0" w:color="auto"/>
        <w:left w:val="none" w:sz="0" w:space="0" w:color="auto"/>
        <w:bottom w:val="none" w:sz="0" w:space="0" w:color="auto"/>
        <w:right w:val="none" w:sz="0" w:space="0" w:color="auto"/>
      </w:divBdr>
      <w:divsChild>
        <w:div w:id="615719504">
          <w:marLeft w:val="0"/>
          <w:marRight w:val="0"/>
          <w:marTop w:val="0"/>
          <w:marBottom w:val="0"/>
          <w:divBdr>
            <w:top w:val="none" w:sz="0" w:space="0" w:color="auto"/>
            <w:left w:val="none" w:sz="0" w:space="0" w:color="auto"/>
            <w:bottom w:val="none" w:sz="0" w:space="0" w:color="auto"/>
            <w:right w:val="none" w:sz="0" w:space="0" w:color="auto"/>
          </w:divBdr>
        </w:div>
      </w:divsChild>
    </w:div>
    <w:div w:id="1672833060">
      <w:bodyDiv w:val="1"/>
      <w:marLeft w:val="0"/>
      <w:marRight w:val="0"/>
      <w:marTop w:val="0"/>
      <w:marBottom w:val="0"/>
      <w:divBdr>
        <w:top w:val="none" w:sz="0" w:space="0" w:color="auto"/>
        <w:left w:val="none" w:sz="0" w:space="0" w:color="auto"/>
        <w:bottom w:val="none" w:sz="0" w:space="0" w:color="auto"/>
        <w:right w:val="none" w:sz="0" w:space="0" w:color="auto"/>
      </w:divBdr>
      <w:divsChild>
        <w:div w:id="1818721868">
          <w:marLeft w:val="0"/>
          <w:marRight w:val="0"/>
          <w:marTop w:val="0"/>
          <w:marBottom w:val="0"/>
          <w:divBdr>
            <w:top w:val="none" w:sz="0" w:space="0" w:color="auto"/>
            <w:left w:val="none" w:sz="0" w:space="0" w:color="auto"/>
            <w:bottom w:val="none" w:sz="0" w:space="0" w:color="auto"/>
            <w:right w:val="none" w:sz="0" w:space="0" w:color="auto"/>
          </w:divBdr>
        </w:div>
      </w:divsChild>
    </w:div>
    <w:div w:id="1689872830">
      <w:bodyDiv w:val="1"/>
      <w:marLeft w:val="0"/>
      <w:marRight w:val="0"/>
      <w:marTop w:val="0"/>
      <w:marBottom w:val="0"/>
      <w:divBdr>
        <w:top w:val="none" w:sz="0" w:space="0" w:color="auto"/>
        <w:left w:val="none" w:sz="0" w:space="0" w:color="auto"/>
        <w:bottom w:val="none" w:sz="0" w:space="0" w:color="auto"/>
        <w:right w:val="none" w:sz="0" w:space="0" w:color="auto"/>
      </w:divBdr>
      <w:divsChild>
        <w:div w:id="8332520">
          <w:marLeft w:val="0"/>
          <w:marRight w:val="0"/>
          <w:marTop w:val="0"/>
          <w:marBottom w:val="0"/>
          <w:divBdr>
            <w:top w:val="none" w:sz="0" w:space="0" w:color="auto"/>
            <w:left w:val="none" w:sz="0" w:space="0" w:color="auto"/>
            <w:bottom w:val="none" w:sz="0" w:space="0" w:color="auto"/>
            <w:right w:val="none" w:sz="0" w:space="0" w:color="auto"/>
          </w:divBdr>
        </w:div>
      </w:divsChild>
    </w:div>
    <w:div w:id="1728263140">
      <w:bodyDiv w:val="1"/>
      <w:marLeft w:val="0"/>
      <w:marRight w:val="0"/>
      <w:marTop w:val="0"/>
      <w:marBottom w:val="0"/>
      <w:divBdr>
        <w:top w:val="none" w:sz="0" w:space="0" w:color="auto"/>
        <w:left w:val="none" w:sz="0" w:space="0" w:color="auto"/>
        <w:bottom w:val="none" w:sz="0" w:space="0" w:color="auto"/>
        <w:right w:val="none" w:sz="0" w:space="0" w:color="auto"/>
      </w:divBdr>
      <w:divsChild>
        <w:div w:id="146746747">
          <w:marLeft w:val="0"/>
          <w:marRight w:val="0"/>
          <w:marTop w:val="0"/>
          <w:marBottom w:val="0"/>
          <w:divBdr>
            <w:top w:val="none" w:sz="0" w:space="0" w:color="auto"/>
            <w:left w:val="none" w:sz="0" w:space="0" w:color="auto"/>
            <w:bottom w:val="none" w:sz="0" w:space="0" w:color="auto"/>
            <w:right w:val="none" w:sz="0" w:space="0" w:color="auto"/>
          </w:divBdr>
        </w:div>
      </w:divsChild>
    </w:div>
    <w:div w:id="1748915503">
      <w:bodyDiv w:val="1"/>
      <w:marLeft w:val="0"/>
      <w:marRight w:val="0"/>
      <w:marTop w:val="0"/>
      <w:marBottom w:val="0"/>
      <w:divBdr>
        <w:top w:val="none" w:sz="0" w:space="0" w:color="auto"/>
        <w:left w:val="none" w:sz="0" w:space="0" w:color="auto"/>
        <w:bottom w:val="none" w:sz="0" w:space="0" w:color="auto"/>
        <w:right w:val="none" w:sz="0" w:space="0" w:color="auto"/>
      </w:divBdr>
      <w:divsChild>
        <w:div w:id="199055108">
          <w:marLeft w:val="0"/>
          <w:marRight w:val="0"/>
          <w:marTop w:val="0"/>
          <w:marBottom w:val="0"/>
          <w:divBdr>
            <w:top w:val="none" w:sz="0" w:space="0" w:color="auto"/>
            <w:left w:val="none" w:sz="0" w:space="0" w:color="auto"/>
            <w:bottom w:val="none" w:sz="0" w:space="0" w:color="auto"/>
            <w:right w:val="none" w:sz="0" w:space="0" w:color="auto"/>
          </w:divBdr>
        </w:div>
      </w:divsChild>
    </w:div>
    <w:div w:id="1761101226">
      <w:bodyDiv w:val="1"/>
      <w:marLeft w:val="0"/>
      <w:marRight w:val="0"/>
      <w:marTop w:val="0"/>
      <w:marBottom w:val="0"/>
      <w:divBdr>
        <w:top w:val="none" w:sz="0" w:space="0" w:color="auto"/>
        <w:left w:val="none" w:sz="0" w:space="0" w:color="auto"/>
        <w:bottom w:val="none" w:sz="0" w:space="0" w:color="auto"/>
        <w:right w:val="none" w:sz="0" w:space="0" w:color="auto"/>
      </w:divBdr>
      <w:divsChild>
        <w:div w:id="745341234">
          <w:marLeft w:val="0"/>
          <w:marRight w:val="0"/>
          <w:marTop w:val="0"/>
          <w:marBottom w:val="0"/>
          <w:divBdr>
            <w:top w:val="none" w:sz="0" w:space="0" w:color="auto"/>
            <w:left w:val="none" w:sz="0" w:space="0" w:color="auto"/>
            <w:bottom w:val="none" w:sz="0" w:space="0" w:color="auto"/>
            <w:right w:val="none" w:sz="0" w:space="0" w:color="auto"/>
          </w:divBdr>
        </w:div>
      </w:divsChild>
    </w:div>
    <w:div w:id="1770849194">
      <w:bodyDiv w:val="1"/>
      <w:marLeft w:val="0"/>
      <w:marRight w:val="0"/>
      <w:marTop w:val="0"/>
      <w:marBottom w:val="0"/>
      <w:divBdr>
        <w:top w:val="none" w:sz="0" w:space="0" w:color="auto"/>
        <w:left w:val="none" w:sz="0" w:space="0" w:color="auto"/>
        <w:bottom w:val="none" w:sz="0" w:space="0" w:color="auto"/>
        <w:right w:val="none" w:sz="0" w:space="0" w:color="auto"/>
      </w:divBdr>
      <w:divsChild>
        <w:div w:id="475148744">
          <w:marLeft w:val="0"/>
          <w:marRight w:val="0"/>
          <w:marTop w:val="0"/>
          <w:marBottom w:val="0"/>
          <w:divBdr>
            <w:top w:val="none" w:sz="0" w:space="0" w:color="auto"/>
            <w:left w:val="none" w:sz="0" w:space="0" w:color="auto"/>
            <w:bottom w:val="none" w:sz="0" w:space="0" w:color="auto"/>
            <w:right w:val="none" w:sz="0" w:space="0" w:color="auto"/>
          </w:divBdr>
        </w:div>
      </w:divsChild>
    </w:div>
    <w:div w:id="1772579654">
      <w:bodyDiv w:val="1"/>
      <w:marLeft w:val="0"/>
      <w:marRight w:val="0"/>
      <w:marTop w:val="0"/>
      <w:marBottom w:val="0"/>
      <w:divBdr>
        <w:top w:val="none" w:sz="0" w:space="0" w:color="auto"/>
        <w:left w:val="none" w:sz="0" w:space="0" w:color="auto"/>
        <w:bottom w:val="none" w:sz="0" w:space="0" w:color="auto"/>
        <w:right w:val="none" w:sz="0" w:space="0" w:color="auto"/>
      </w:divBdr>
      <w:divsChild>
        <w:div w:id="1716539250">
          <w:marLeft w:val="0"/>
          <w:marRight w:val="0"/>
          <w:marTop w:val="0"/>
          <w:marBottom w:val="0"/>
          <w:divBdr>
            <w:top w:val="none" w:sz="0" w:space="0" w:color="auto"/>
            <w:left w:val="none" w:sz="0" w:space="0" w:color="auto"/>
            <w:bottom w:val="none" w:sz="0" w:space="0" w:color="auto"/>
            <w:right w:val="none" w:sz="0" w:space="0" w:color="auto"/>
          </w:divBdr>
        </w:div>
      </w:divsChild>
    </w:div>
    <w:div w:id="1862821437">
      <w:bodyDiv w:val="1"/>
      <w:marLeft w:val="0"/>
      <w:marRight w:val="0"/>
      <w:marTop w:val="0"/>
      <w:marBottom w:val="0"/>
      <w:divBdr>
        <w:top w:val="none" w:sz="0" w:space="0" w:color="auto"/>
        <w:left w:val="none" w:sz="0" w:space="0" w:color="auto"/>
        <w:bottom w:val="none" w:sz="0" w:space="0" w:color="auto"/>
        <w:right w:val="none" w:sz="0" w:space="0" w:color="auto"/>
      </w:divBdr>
      <w:divsChild>
        <w:div w:id="251936368">
          <w:marLeft w:val="0"/>
          <w:marRight w:val="0"/>
          <w:marTop w:val="0"/>
          <w:marBottom w:val="0"/>
          <w:divBdr>
            <w:top w:val="none" w:sz="0" w:space="0" w:color="auto"/>
            <w:left w:val="none" w:sz="0" w:space="0" w:color="auto"/>
            <w:bottom w:val="none" w:sz="0" w:space="0" w:color="auto"/>
            <w:right w:val="none" w:sz="0" w:space="0" w:color="auto"/>
          </w:divBdr>
        </w:div>
      </w:divsChild>
    </w:div>
    <w:div w:id="1896504396">
      <w:bodyDiv w:val="1"/>
      <w:marLeft w:val="0"/>
      <w:marRight w:val="0"/>
      <w:marTop w:val="0"/>
      <w:marBottom w:val="0"/>
      <w:divBdr>
        <w:top w:val="none" w:sz="0" w:space="0" w:color="auto"/>
        <w:left w:val="none" w:sz="0" w:space="0" w:color="auto"/>
        <w:bottom w:val="none" w:sz="0" w:space="0" w:color="auto"/>
        <w:right w:val="none" w:sz="0" w:space="0" w:color="auto"/>
      </w:divBdr>
      <w:divsChild>
        <w:div w:id="725028114">
          <w:marLeft w:val="0"/>
          <w:marRight w:val="0"/>
          <w:marTop w:val="0"/>
          <w:marBottom w:val="0"/>
          <w:divBdr>
            <w:top w:val="none" w:sz="0" w:space="0" w:color="auto"/>
            <w:left w:val="none" w:sz="0" w:space="0" w:color="auto"/>
            <w:bottom w:val="none" w:sz="0" w:space="0" w:color="auto"/>
            <w:right w:val="none" w:sz="0" w:space="0" w:color="auto"/>
          </w:divBdr>
        </w:div>
      </w:divsChild>
    </w:div>
    <w:div w:id="1907104680">
      <w:bodyDiv w:val="1"/>
      <w:marLeft w:val="0"/>
      <w:marRight w:val="0"/>
      <w:marTop w:val="0"/>
      <w:marBottom w:val="0"/>
      <w:divBdr>
        <w:top w:val="none" w:sz="0" w:space="0" w:color="auto"/>
        <w:left w:val="none" w:sz="0" w:space="0" w:color="auto"/>
        <w:bottom w:val="none" w:sz="0" w:space="0" w:color="auto"/>
        <w:right w:val="none" w:sz="0" w:space="0" w:color="auto"/>
      </w:divBdr>
      <w:divsChild>
        <w:div w:id="306786207">
          <w:marLeft w:val="0"/>
          <w:marRight w:val="0"/>
          <w:marTop w:val="0"/>
          <w:marBottom w:val="0"/>
          <w:divBdr>
            <w:top w:val="none" w:sz="0" w:space="0" w:color="auto"/>
            <w:left w:val="none" w:sz="0" w:space="0" w:color="auto"/>
            <w:bottom w:val="none" w:sz="0" w:space="0" w:color="auto"/>
            <w:right w:val="none" w:sz="0" w:space="0" w:color="auto"/>
          </w:divBdr>
        </w:div>
      </w:divsChild>
    </w:div>
    <w:div w:id="1965847266">
      <w:bodyDiv w:val="1"/>
      <w:marLeft w:val="0"/>
      <w:marRight w:val="0"/>
      <w:marTop w:val="0"/>
      <w:marBottom w:val="0"/>
      <w:divBdr>
        <w:top w:val="none" w:sz="0" w:space="0" w:color="auto"/>
        <w:left w:val="none" w:sz="0" w:space="0" w:color="auto"/>
        <w:bottom w:val="none" w:sz="0" w:space="0" w:color="auto"/>
        <w:right w:val="none" w:sz="0" w:space="0" w:color="auto"/>
      </w:divBdr>
      <w:divsChild>
        <w:div w:id="2092118940">
          <w:marLeft w:val="0"/>
          <w:marRight w:val="0"/>
          <w:marTop w:val="0"/>
          <w:marBottom w:val="0"/>
          <w:divBdr>
            <w:top w:val="none" w:sz="0" w:space="0" w:color="auto"/>
            <w:left w:val="none" w:sz="0" w:space="0" w:color="auto"/>
            <w:bottom w:val="none" w:sz="0" w:space="0" w:color="auto"/>
            <w:right w:val="none" w:sz="0" w:space="0" w:color="auto"/>
          </w:divBdr>
        </w:div>
      </w:divsChild>
    </w:div>
    <w:div w:id="1973712180">
      <w:bodyDiv w:val="1"/>
      <w:marLeft w:val="0"/>
      <w:marRight w:val="0"/>
      <w:marTop w:val="0"/>
      <w:marBottom w:val="0"/>
      <w:divBdr>
        <w:top w:val="none" w:sz="0" w:space="0" w:color="auto"/>
        <w:left w:val="none" w:sz="0" w:space="0" w:color="auto"/>
        <w:bottom w:val="none" w:sz="0" w:space="0" w:color="auto"/>
        <w:right w:val="none" w:sz="0" w:space="0" w:color="auto"/>
      </w:divBdr>
      <w:divsChild>
        <w:div w:id="1551960421">
          <w:marLeft w:val="0"/>
          <w:marRight w:val="0"/>
          <w:marTop w:val="0"/>
          <w:marBottom w:val="0"/>
          <w:divBdr>
            <w:top w:val="none" w:sz="0" w:space="0" w:color="auto"/>
            <w:left w:val="none" w:sz="0" w:space="0" w:color="auto"/>
            <w:bottom w:val="none" w:sz="0" w:space="0" w:color="auto"/>
            <w:right w:val="none" w:sz="0" w:space="0" w:color="auto"/>
          </w:divBdr>
        </w:div>
      </w:divsChild>
    </w:div>
    <w:div w:id="2027823269">
      <w:bodyDiv w:val="1"/>
      <w:marLeft w:val="0"/>
      <w:marRight w:val="0"/>
      <w:marTop w:val="0"/>
      <w:marBottom w:val="0"/>
      <w:divBdr>
        <w:top w:val="none" w:sz="0" w:space="0" w:color="auto"/>
        <w:left w:val="none" w:sz="0" w:space="0" w:color="auto"/>
        <w:bottom w:val="none" w:sz="0" w:space="0" w:color="auto"/>
        <w:right w:val="none" w:sz="0" w:space="0" w:color="auto"/>
      </w:divBdr>
      <w:divsChild>
        <w:div w:id="1119684108">
          <w:marLeft w:val="0"/>
          <w:marRight w:val="0"/>
          <w:marTop w:val="0"/>
          <w:marBottom w:val="0"/>
          <w:divBdr>
            <w:top w:val="none" w:sz="0" w:space="0" w:color="auto"/>
            <w:left w:val="none" w:sz="0" w:space="0" w:color="auto"/>
            <w:bottom w:val="none" w:sz="0" w:space="0" w:color="auto"/>
            <w:right w:val="none" w:sz="0" w:space="0" w:color="auto"/>
          </w:divBdr>
        </w:div>
      </w:divsChild>
    </w:div>
    <w:div w:id="2096973333">
      <w:bodyDiv w:val="1"/>
      <w:marLeft w:val="0"/>
      <w:marRight w:val="0"/>
      <w:marTop w:val="0"/>
      <w:marBottom w:val="0"/>
      <w:divBdr>
        <w:top w:val="none" w:sz="0" w:space="0" w:color="auto"/>
        <w:left w:val="none" w:sz="0" w:space="0" w:color="auto"/>
        <w:bottom w:val="none" w:sz="0" w:space="0" w:color="auto"/>
        <w:right w:val="none" w:sz="0" w:space="0" w:color="auto"/>
      </w:divBdr>
      <w:divsChild>
        <w:div w:id="1312099636">
          <w:marLeft w:val="0"/>
          <w:marRight w:val="0"/>
          <w:marTop w:val="0"/>
          <w:marBottom w:val="0"/>
          <w:divBdr>
            <w:top w:val="none" w:sz="0" w:space="0" w:color="auto"/>
            <w:left w:val="none" w:sz="0" w:space="0" w:color="auto"/>
            <w:bottom w:val="none" w:sz="0" w:space="0" w:color="auto"/>
            <w:right w:val="none" w:sz="0" w:space="0" w:color="auto"/>
          </w:divBdr>
        </w:div>
      </w:divsChild>
    </w:div>
    <w:div w:id="2123379054">
      <w:bodyDiv w:val="1"/>
      <w:marLeft w:val="0"/>
      <w:marRight w:val="0"/>
      <w:marTop w:val="0"/>
      <w:marBottom w:val="0"/>
      <w:divBdr>
        <w:top w:val="none" w:sz="0" w:space="0" w:color="auto"/>
        <w:left w:val="none" w:sz="0" w:space="0" w:color="auto"/>
        <w:bottom w:val="none" w:sz="0" w:space="0" w:color="auto"/>
        <w:right w:val="none" w:sz="0" w:space="0" w:color="auto"/>
      </w:divBdr>
      <w:divsChild>
        <w:div w:id="198226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FE61-D370-419B-A454-2202C372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7107</Words>
  <Characters>40511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Bob</dc:creator>
  <cp:keywords/>
  <dc:description/>
  <cp:lastModifiedBy>David Rapp-Kirshner</cp:lastModifiedBy>
  <cp:revision>3</cp:revision>
  <cp:lastPrinted>2020-11-11T04:45:00Z</cp:lastPrinted>
  <dcterms:created xsi:type="dcterms:W3CDTF">2020-11-11T04:47:00Z</dcterms:created>
  <dcterms:modified xsi:type="dcterms:W3CDTF">2020-11-11T06:26:00Z</dcterms:modified>
</cp:coreProperties>
</file>